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9B1E" w14:textId="77777777" w:rsidR="001D7AF9" w:rsidRDefault="001D7AF9">
      <w:pPr>
        <w:spacing w:before="2400"/>
      </w:pPr>
    </w:p>
    <w:p w14:paraId="3F49A33E" w14:textId="77777777" w:rsidR="001D7AF9" w:rsidRPr="00A25E13" w:rsidRDefault="002E1144">
      <w:pPr>
        <w:jc w:val="center"/>
        <w:rPr>
          <w:lang w:val="en-AU"/>
        </w:rPr>
      </w:pPr>
      <w:r w:rsidRPr="00A25E13">
        <w:rPr>
          <w:b/>
          <w:bCs/>
          <w:color w:val="2E74B5"/>
          <w:sz w:val="30"/>
          <w:szCs w:val="30"/>
          <w:lang w:val="en-AU"/>
        </w:rPr>
        <w:t>AICDS</w:t>
      </w:r>
    </w:p>
    <w:p w14:paraId="07085718" w14:textId="77777777" w:rsidR="001D7AF9" w:rsidRPr="00A25E13" w:rsidRDefault="002E1144">
      <w:pPr>
        <w:spacing w:before="200" w:after="200"/>
        <w:jc w:val="center"/>
        <w:rPr>
          <w:lang w:val="en-AU"/>
        </w:rPr>
      </w:pPr>
      <w:r w:rsidRPr="00A25E13">
        <w:rPr>
          <w:b/>
          <w:bCs/>
          <w:color w:val="1F3864"/>
          <w:sz w:val="56"/>
          <w:szCs w:val="56"/>
          <w:lang w:val="en-AU"/>
        </w:rPr>
        <w:t>Financial Planning Tool (FPT)</w:t>
      </w:r>
    </w:p>
    <w:p w14:paraId="6601F7D4" w14:textId="77777777" w:rsidR="001D7AF9" w:rsidRDefault="002E1144">
      <w:pPr>
        <w:spacing w:after="800"/>
        <w:jc w:val="center"/>
      </w:pPr>
      <w:r>
        <w:rPr>
          <w:color w:val="444444"/>
          <w:sz w:val="30"/>
          <w:szCs w:val="30"/>
        </w:rPr>
        <w:t>Konzept- und Anforderungsdokument</w:t>
      </w:r>
    </w:p>
    <w:p w14:paraId="748D5E1F" w14:textId="77777777" w:rsidR="001D7AF9" w:rsidRDefault="002E1144">
      <w:pPr>
        <w:spacing w:after="80"/>
        <w:jc w:val="center"/>
      </w:pPr>
      <w:r>
        <w:rPr>
          <w:i/>
          <w:iCs/>
          <w:color w:val="2E74B5"/>
          <w:sz w:val="22"/>
          <w:szCs w:val="22"/>
        </w:rPr>
        <w:t>fpt.aicds.ch</w:t>
      </w:r>
    </w:p>
    <w:p w14:paraId="6E60D0DB" w14:textId="77777777" w:rsidR="001D7AF9" w:rsidRDefault="002E1144">
      <w:pPr>
        <w:spacing w:before="1600" w:after="40"/>
        <w:jc w:val="center"/>
      </w:pPr>
      <w:r>
        <w:rPr>
          <w:color w:val="666666"/>
          <w:sz w:val="20"/>
          <w:szCs w:val="20"/>
        </w:rPr>
        <w:t>Version 1.0</w:t>
      </w:r>
    </w:p>
    <w:p w14:paraId="13395CAB" w14:textId="77777777" w:rsidR="001D7AF9" w:rsidRDefault="002E1144">
      <w:pPr>
        <w:spacing w:after="40"/>
        <w:jc w:val="center"/>
      </w:pPr>
      <w:r>
        <w:rPr>
          <w:color w:val="666666"/>
          <w:sz w:val="20"/>
          <w:szCs w:val="20"/>
        </w:rPr>
        <w:t>Basierend auf Memo 1–3 (07.07.2026)</w:t>
      </w:r>
    </w:p>
    <w:p w14:paraId="1AA4D062" w14:textId="77777777" w:rsidR="001D7AF9" w:rsidRDefault="002E1144">
      <w:pPr>
        <w:jc w:val="center"/>
      </w:pPr>
      <w:r>
        <w:rPr>
          <w:color w:val="666666"/>
          <w:sz w:val="20"/>
          <w:szCs w:val="20"/>
        </w:rPr>
        <w:t>Erstellt: 07.07.2026</w:t>
      </w:r>
    </w:p>
    <w:p w14:paraId="3FDB0549" w14:textId="77777777" w:rsidR="001D7AF9" w:rsidRDefault="002E1144">
      <w:r>
        <w:br w:type="page"/>
      </w:r>
    </w:p>
    <w:p w14:paraId="50669883" w14:textId="77777777" w:rsidR="001D7AF9" w:rsidRDefault="002E1144">
      <w:pPr>
        <w:pStyle w:val="berschrift1"/>
        <w:pBdr>
          <w:bottom w:val="single" w:sz="6" w:space="4" w:color="2E74B5"/>
        </w:pBdr>
        <w:spacing w:before="480" w:after="240"/>
      </w:pPr>
      <w:r>
        <w:rPr>
          <w:b/>
          <w:bCs/>
          <w:color w:val="1F3864"/>
        </w:rPr>
        <w:lastRenderedPageBreak/>
        <w:t>Inhaltsübersicht</w:t>
      </w:r>
    </w:p>
    <w:p w14:paraId="0AF5AF03" w14:textId="77777777" w:rsidR="001D7AF9" w:rsidRDefault="002E1144">
      <w:pPr>
        <w:spacing w:after="160" w:line="300" w:lineRule="auto"/>
      </w:pPr>
      <w:r>
        <w:t>Dieses Dokument besteht aus zwei Hauptteilen:</w:t>
      </w:r>
    </w:p>
    <w:p w14:paraId="0E47BC44" w14:textId="77777777" w:rsidR="001D7AF9" w:rsidRDefault="002E1144">
      <w:pPr>
        <w:pStyle w:val="Listenabsatz"/>
        <w:numPr>
          <w:ilvl w:val="0"/>
          <w:numId w:val="1"/>
        </w:numPr>
        <w:spacing w:after="90" w:line="280" w:lineRule="auto"/>
      </w:pPr>
      <w:r>
        <w:rPr>
          <w:b/>
          <w:bCs/>
        </w:rPr>
        <w:t xml:space="preserve">Teil 1 – Funktionale Spezifikation: </w:t>
      </w:r>
      <w:r>
        <w:t>beschreibt aus Sicht des Endbenutzers, was das FPT können soll: Benutzeroberflächen, Funktionen, Logiken – ohne technische Details. Richtet sich an Auftraggeber, Endbenutzer und alle ohne Entwicklungshintergrund.</w:t>
      </w:r>
    </w:p>
    <w:p w14:paraId="710E3CB0" w14:textId="77777777" w:rsidR="001D7AF9" w:rsidRDefault="002E1144">
      <w:pPr>
        <w:pStyle w:val="Listenabsatz"/>
        <w:numPr>
          <w:ilvl w:val="0"/>
          <w:numId w:val="1"/>
        </w:numPr>
        <w:spacing w:after="90" w:line="280" w:lineRule="auto"/>
      </w:pPr>
      <w:r>
        <w:rPr>
          <w:b/>
          <w:bCs/>
        </w:rPr>
        <w:t xml:space="preserve">Teil 2 – Technische Spezifikation: </w:t>
      </w:r>
      <w:r>
        <w:t>beschreibt die Umsetzung: Datenmodell, Datenfelder inkl. Labels und Hilfetexte, Berechnungslogik, Bildschirme und Validierungsregeln. Grundlage für die Entwicklung.</w:t>
      </w:r>
    </w:p>
    <w:p w14:paraId="4A3B30C9" w14:textId="77777777" w:rsidR="001D7AF9" w:rsidRDefault="001D7AF9">
      <w:pPr>
        <w:spacing w:after="160" w:line="300" w:lineRule="auto"/>
      </w:pPr>
    </w:p>
    <w:p w14:paraId="5BCB6ACE" w14:textId="77777777" w:rsidR="001D7AF9" w:rsidRDefault="002E1144">
      <w:pPr>
        <w:spacing w:after="160" w:line="300" w:lineRule="auto"/>
      </w:pPr>
      <w:r>
        <w:t>Am Ende von Teil 2 findet sich zudem eine konsolidierte Liste aller noch offenen Punkte und getroffenen Annahmen.</w:t>
      </w:r>
    </w:p>
    <w:p w14:paraId="25CD4E3C" w14:textId="77777777" w:rsidR="001D7AF9" w:rsidRDefault="002E1144">
      <w:r>
        <w:br w:type="page"/>
      </w:r>
    </w:p>
    <w:p w14:paraId="503F0EC4" w14:textId="77777777" w:rsidR="001D7AF9" w:rsidRDefault="002E1144">
      <w:pPr>
        <w:spacing w:before="1200" w:after="1200"/>
        <w:jc w:val="center"/>
      </w:pPr>
      <w:r>
        <w:rPr>
          <w:b/>
          <w:bCs/>
          <w:color w:val="2E74B5"/>
          <w:sz w:val="44"/>
          <w:szCs w:val="44"/>
        </w:rPr>
        <w:lastRenderedPageBreak/>
        <w:t>TEIL 1</w:t>
      </w:r>
    </w:p>
    <w:p w14:paraId="1E264D2C" w14:textId="77777777" w:rsidR="001D7AF9" w:rsidRDefault="002E1144">
      <w:pPr>
        <w:spacing w:after="1200"/>
        <w:jc w:val="center"/>
      </w:pPr>
      <w:r>
        <w:rPr>
          <w:b/>
          <w:bCs/>
          <w:color w:val="1F3864"/>
          <w:sz w:val="36"/>
          <w:szCs w:val="36"/>
        </w:rPr>
        <w:t>Funktionale Spezifikation</w:t>
      </w:r>
    </w:p>
    <w:p w14:paraId="3E6B4DE7" w14:textId="77777777" w:rsidR="001D7AF9" w:rsidRDefault="002E1144">
      <w:r>
        <w:br w:type="page"/>
      </w:r>
    </w:p>
    <w:p w14:paraId="3598643F" w14:textId="77777777" w:rsidR="001D7AF9" w:rsidRDefault="002E1144">
      <w:pPr>
        <w:pStyle w:val="berschrift1"/>
        <w:pBdr>
          <w:bottom w:val="single" w:sz="6" w:space="4" w:color="2E74B5"/>
        </w:pBdr>
        <w:spacing w:before="480" w:after="240"/>
      </w:pPr>
      <w:r>
        <w:rPr>
          <w:b/>
          <w:bCs/>
          <w:color w:val="1F3864"/>
        </w:rPr>
        <w:lastRenderedPageBreak/>
        <w:t>1. Überblick und Zielsetzung</w:t>
      </w:r>
    </w:p>
    <w:p w14:paraId="324A89BF" w14:textId="77777777" w:rsidR="001D7AF9" w:rsidRDefault="002E1144">
      <w:pPr>
        <w:spacing w:after="160" w:line="300" w:lineRule="auto"/>
      </w:pPr>
      <w:r>
        <w:t>Das FPT ist eine private Webapplikation zur persönlichen Finanzplanung, erreichbar über die eigene Domain fpt.aicds.ch. Es dient nicht der Verwaltung des Ist-Zustands (Buchhaltung, Kontoabgleich), sondern der Simulation und Planung der finanziellen Zukunft eines Haushalts über mehrere Jahrzehnte hinweg.</w:t>
      </w:r>
    </w:p>
    <w:p w14:paraId="70933B73" w14:textId="77777777" w:rsidR="001D7AF9" w:rsidRDefault="002E1144">
      <w:pPr>
        <w:pStyle w:val="berschrift3"/>
        <w:spacing w:before="240" w:after="120"/>
      </w:pPr>
      <w:r>
        <w:rPr>
          <w:b/>
          <w:bCs/>
          <w:color w:val="2E74B5"/>
          <w:sz w:val="22"/>
          <w:szCs w:val="22"/>
        </w:rPr>
        <w:t>Kernprinzipien</w:t>
      </w:r>
    </w:p>
    <w:p w14:paraId="5B5CAD87" w14:textId="77777777" w:rsidR="001D7AF9" w:rsidRDefault="002E1144">
      <w:pPr>
        <w:pStyle w:val="Listenabsatz"/>
        <w:numPr>
          <w:ilvl w:val="0"/>
          <w:numId w:val="1"/>
        </w:numPr>
        <w:spacing w:after="90" w:line="280" w:lineRule="auto"/>
      </w:pPr>
      <w:r>
        <w:t>Alle Daten werden manuell eingegeben. Es gibt keine Anbindung an Banken, Broker oder andere Drittsysteme.</w:t>
      </w:r>
    </w:p>
    <w:p w14:paraId="0D79EC89" w14:textId="77777777" w:rsidR="001D7AF9" w:rsidRDefault="002E1144">
      <w:pPr>
        <w:pStyle w:val="Listenabsatz"/>
        <w:numPr>
          <w:ilvl w:val="0"/>
          <w:numId w:val="1"/>
        </w:numPr>
        <w:spacing w:after="90" w:line="280" w:lineRule="auto"/>
      </w:pPr>
      <w:r>
        <w:t>Die Planung erfolgt in frei definierbaren „Lebensabschnittsphasen“ statt in starren Kalenderjahren.</w:t>
      </w:r>
    </w:p>
    <w:p w14:paraId="19740B1B" w14:textId="77777777" w:rsidR="001D7AF9" w:rsidRDefault="002E1144">
      <w:pPr>
        <w:pStyle w:val="Listenabsatz"/>
        <w:numPr>
          <w:ilvl w:val="0"/>
          <w:numId w:val="1"/>
        </w:numPr>
        <w:spacing w:after="90" w:line="280" w:lineRule="auto"/>
      </w:pPr>
      <w:r>
        <w:t>Der Fokus liegt auf dem Durchspielen von Szenarien („Was wäre, wenn…“), nicht auf exakter Buchhaltung.</w:t>
      </w:r>
    </w:p>
    <w:p w14:paraId="13DABB4A" w14:textId="77777777" w:rsidR="001D7AF9" w:rsidRDefault="002E1144">
      <w:pPr>
        <w:pStyle w:val="Listenabsatz"/>
        <w:numPr>
          <w:ilvl w:val="0"/>
          <w:numId w:val="1"/>
        </w:numPr>
        <w:spacing w:after="90" w:line="280" w:lineRule="auto"/>
      </w:pPr>
      <w:r>
        <w:t>Steuern werden bewusst vereinfacht und nur grob abgeschätzt – kein vollwertiger Steuerrechner.</w:t>
      </w:r>
    </w:p>
    <w:p w14:paraId="494FCD5D" w14:textId="77777777" w:rsidR="001D7AF9" w:rsidRDefault="002E1144">
      <w:pPr>
        <w:pStyle w:val="Listenabsatz"/>
        <w:numPr>
          <w:ilvl w:val="0"/>
          <w:numId w:val="1"/>
        </w:numPr>
        <w:spacing w:after="90" w:line="280" w:lineRule="auto"/>
      </w:pPr>
      <w:r>
        <w:t>Die Anwendung wird durch eine einzelne Person bzw. einen Haushalt (max. zwei Personen) genutzt.</w:t>
      </w:r>
    </w:p>
    <w:p w14:paraId="15864D91" w14:textId="77777777" w:rsidR="001D7AF9" w:rsidRDefault="002E1144">
      <w:pPr>
        <w:pStyle w:val="berschrift1"/>
        <w:pBdr>
          <w:bottom w:val="single" w:sz="6" w:space="4" w:color="2E74B5"/>
        </w:pBdr>
        <w:spacing w:before="480" w:after="240"/>
      </w:pPr>
      <w:r>
        <w:rPr>
          <w:b/>
          <w:bCs/>
          <w:color w:val="1F3864"/>
        </w:rPr>
        <w:t>2. Grundprofil (Einrichtung)</w:t>
      </w:r>
    </w:p>
    <w:p w14:paraId="5C5A72EA" w14:textId="77777777" w:rsidR="001D7AF9" w:rsidRDefault="002E1144">
      <w:pPr>
        <w:spacing w:after="160" w:line="300" w:lineRule="auto"/>
      </w:pPr>
      <w:r>
        <w:t>Beim ersten Start bzw. beim Anlegen eines neuen Plans (siehe Kap. 13) gibt der Benutzer die persönlichen Eckdaten ein:</w:t>
      </w:r>
    </w:p>
    <w:p w14:paraId="14F7608A" w14:textId="77777777" w:rsidR="001D7AF9" w:rsidRDefault="002E1144">
      <w:pPr>
        <w:pStyle w:val="Listenabsatz"/>
        <w:numPr>
          <w:ilvl w:val="0"/>
          <w:numId w:val="1"/>
        </w:numPr>
        <w:spacing w:after="90" w:line="280" w:lineRule="auto"/>
      </w:pPr>
      <w:r>
        <w:rPr>
          <w:b/>
          <w:bCs/>
        </w:rPr>
        <w:t xml:space="preserve">Haushaltsform: </w:t>
      </w:r>
      <w:r>
        <w:t>Einzelperson oder Paar (zwei Personen im gemeinsamen Haushalt).</w:t>
      </w:r>
    </w:p>
    <w:p w14:paraId="713F4654" w14:textId="77777777" w:rsidR="001D7AF9" w:rsidRDefault="002E1144">
      <w:pPr>
        <w:pStyle w:val="Listenabsatz"/>
        <w:numPr>
          <w:ilvl w:val="0"/>
          <w:numId w:val="1"/>
        </w:numPr>
        <w:spacing w:after="90" w:line="280" w:lineRule="auto"/>
      </w:pPr>
      <w:r>
        <w:rPr>
          <w:b/>
          <w:bCs/>
        </w:rPr>
        <w:t xml:space="preserve">Alter: </w:t>
      </w:r>
      <w:r>
        <w:t>aktuelles Alter der Person(en).</w:t>
      </w:r>
    </w:p>
    <w:p w14:paraId="2379E733" w14:textId="77777777" w:rsidR="001D7AF9" w:rsidRDefault="002E1144">
      <w:pPr>
        <w:pStyle w:val="Listenabsatz"/>
        <w:numPr>
          <w:ilvl w:val="0"/>
          <w:numId w:val="1"/>
        </w:numPr>
        <w:spacing w:after="90" w:line="280" w:lineRule="auto"/>
      </w:pPr>
      <w:r>
        <w:rPr>
          <w:b/>
          <w:bCs/>
        </w:rPr>
        <w:t xml:space="preserve">Geplantes Pensionierungsalter: </w:t>
      </w:r>
      <w:r>
        <w:t>pro Person, dient als Orientierung für die spätere Lebensphasen-Planung.</w:t>
      </w:r>
    </w:p>
    <w:p w14:paraId="16A74B8C" w14:textId="77777777" w:rsidR="001D7AF9" w:rsidRDefault="002E1144">
      <w:pPr>
        <w:pStyle w:val="Listenabsatz"/>
        <w:numPr>
          <w:ilvl w:val="0"/>
          <w:numId w:val="1"/>
        </w:numPr>
        <w:spacing w:after="90" w:line="280" w:lineRule="auto"/>
      </w:pPr>
      <w:r>
        <w:rPr>
          <w:b/>
          <w:bCs/>
        </w:rPr>
        <w:t xml:space="preserve">Erwartete Inflationsrate: </w:t>
      </w:r>
      <w:r>
        <w:t>als langfristige Planungsannahme, wird für die Berechnung der Kaufkraft verwendet.</w:t>
      </w:r>
    </w:p>
    <w:p w14:paraId="2B0A004B" w14:textId="77777777" w:rsidR="001D7AF9" w:rsidRDefault="002E1144">
      <w:pPr>
        <w:pBdr>
          <w:left w:val="single" w:sz="18" w:space="6" w:color="2E74B5"/>
        </w:pBdr>
        <w:shd w:val="clear" w:color="auto" w:fill="DDEBF7"/>
        <w:spacing w:before="80" w:after="200"/>
        <w:ind w:left="120"/>
      </w:pPr>
      <w:r>
        <w:rPr>
          <w:i/>
          <w:iCs/>
          <w:color w:val="333333"/>
          <w:sz w:val="20"/>
          <w:szCs w:val="20"/>
        </w:rPr>
        <w:t>💡</w:t>
      </w:r>
      <w:r>
        <w:rPr>
          <w:i/>
          <w:iCs/>
          <w:color w:val="333333"/>
          <w:sz w:val="20"/>
          <w:szCs w:val="20"/>
        </w:rPr>
        <w:t xml:space="preserve"> Kinder werden bewusst nicht als eigene Datenobjekte erfasst. Ihr Einfluss (z. B. Kinderzulagen, höhere Ausgaben) fliesst indirekt über die geschätzten Einkommens-/Ausgabenwerte der jeweiligen Lebensphase ein.</w:t>
      </w:r>
    </w:p>
    <w:p w14:paraId="39BA0D32" w14:textId="77777777" w:rsidR="001D7AF9" w:rsidRDefault="002E1144">
      <w:pPr>
        <w:pStyle w:val="berschrift1"/>
        <w:pBdr>
          <w:bottom w:val="single" w:sz="6" w:space="4" w:color="2E74B5"/>
        </w:pBdr>
        <w:spacing w:before="480" w:after="240"/>
      </w:pPr>
      <w:r>
        <w:rPr>
          <w:b/>
          <w:bCs/>
          <w:color w:val="1F3864"/>
        </w:rPr>
        <w:t>3. Lebensabschnittsphasen – das Kernkonzept</w:t>
      </w:r>
    </w:p>
    <w:p w14:paraId="319909BC" w14:textId="77777777" w:rsidR="001D7AF9" w:rsidRDefault="002E1144">
      <w:pPr>
        <w:spacing w:after="160" w:line="300" w:lineRule="auto"/>
      </w:pPr>
      <w:r>
        <w:t>Das FPT gliedert die finanzielle Zukunft in frei definierbare „Lebensabschnittsphasen“ (kurz: Phasen). Jede Phase bildet einen zusammenhängenden Zeitraum ab, in dem sich die finanzielle Situation nicht grundlegend ändert (z. B. „Kinder noch zuhause“, „Kinder ausgezogen“, „Pensionierung“).</w:t>
      </w:r>
    </w:p>
    <w:p w14:paraId="57175194" w14:textId="77777777" w:rsidR="001D7AF9" w:rsidRDefault="002E1144">
      <w:pPr>
        <w:pStyle w:val="berschrift3"/>
        <w:spacing w:before="240" w:after="120"/>
      </w:pPr>
      <w:r>
        <w:rPr>
          <w:b/>
          <w:bCs/>
          <w:color w:val="2E74B5"/>
          <w:sz w:val="22"/>
          <w:szCs w:val="22"/>
        </w:rPr>
        <w:t>Funktionsweise</w:t>
      </w:r>
    </w:p>
    <w:p w14:paraId="34A18444" w14:textId="77777777" w:rsidR="001D7AF9" w:rsidRDefault="002E1144">
      <w:pPr>
        <w:pStyle w:val="Listenabsatz"/>
        <w:numPr>
          <w:ilvl w:val="0"/>
          <w:numId w:val="1"/>
        </w:numPr>
        <w:spacing w:after="90" w:line="280" w:lineRule="auto"/>
      </w:pPr>
      <w:r>
        <w:t>Der Benutzer eröffnet eine neue Phase und definiert deren Dauer frei (z. B. 10 Jahre).</w:t>
      </w:r>
    </w:p>
    <w:p w14:paraId="335BF4F4" w14:textId="77777777" w:rsidR="001D7AF9" w:rsidRDefault="002E1144">
      <w:pPr>
        <w:pStyle w:val="Listenabsatz"/>
        <w:numPr>
          <w:ilvl w:val="0"/>
          <w:numId w:val="1"/>
        </w:numPr>
        <w:spacing w:after="90" w:line="280" w:lineRule="auto"/>
      </w:pPr>
      <w:r>
        <w:t>Phasen werden chronologisch aneinandergereiht: Das Schlussvermögen einer Phase wird zum Startvermögen der nächsten Phase.</w:t>
      </w:r>
    </w:p>
    <w:p w14:paraId="69D0FCB8" w14:textId="77777777" w:rsidR="001D7AF9" w:rsidRDefault="002E1144">
      <w:pPr>
        <w:pStyle w:val="Listenabsatz"/>
        <w:numPr>
          <w:ilvl w:val="0"/>
          <w:numId w:val="1"/>
        </w:numPr>
        <w:spacing w:after="90" w:line="280" w:lineRule="auto"/>
      </w:pPr>
      <w:r>
        <w:t>Zwischen zwei Phasen gibt es einen eigenen Übergangsschritt (siehe Kap. 10), in dem der Benutzer aktiv festlegt, was mit bestehenden Wertschriften/Immobilien geschieht.</w:t>
      </w:r>
    </w:p>
    <w:p w14:paraId="117C1502" w14:textId="77777777" w:rsidR="001D7AF9" w:rsidRDefault="002E1144">
      <w:pPr>
        <w:pStyle w:val="Listenabsatz"/>
        <w:numPr>
          <w:ilvl w:val="0"/>
          <w:numId w:val="1"/>
        </w:numPr>
        <w:spacing w:after="90" w:line="280" w:lineRule="auto"/>
      </w:pPr>
      <w:r>
        <w:lastRenderedPageBreak/>
        <w:t>Es gibt keine Obergrenze für die Anzahl Phasen; die letzte Phase eines Plans endet mit dem Lebensende (siehe Kap. 12).</w:t>
      </w:r>
    </w:p>
    <w:p w14:paraId="603EB25C" w14:textId="77777777" w:rsidR="001D7AF9" w:rsidRDefault="002E1144">
      <w:pPr>
        <w:pStyle w:val="berschrift3"/>
        <w:spacing w:before="240" w:after="120"/>
      </w:pPr>
      <w:r>
        <w:rPr>
          <w:b/>
          <w:bCs/>
          <w:color w:val="2E74B5"/>
          <w:sz w:val="22"/>
          <w:szCs w:val="22"/>
        </w:rPr>
        <w:t>Pro Phase werden folgende Angaben gemacht (Details siehe Kap. 4–9)</w:t>
      </w:r>
    </w:p>
    <w:p w14:paraId="604D5BF2" w14:textId="77777777" w:rsidR="001D7AF9" w:rsidRDefault="002E1144">
      <w:pPr>
        <w:pStyle w:val="Listenabsatz"/>
        <w:numPr>
          <w:ilvl w:val="0"/>
          <w:numId w:val="1"/>
        </w:numPr>
        <w:spacing w:after="90" w:line="280" w:lineRule="auto"/>
      </w:pPr>
      <w:r>
        <w:t>Erwartetes Einkommen (pro Person oder gemeinsam)</w:t>
      </w:r>
    </w:p>
    <w:p w14:paraId="12CD3BAB" w14:textId="77777777" w:rsidR="001D7AF9" w:rsidRDefault="002E1144">
      <w:pPr>
        <w:pStyle w:val="Listenabsatz"/>
        <w:numPr>
          <w:ilvl w:val="0"/>
          <w:numId w:val="1"/>
        </w:numPr>
        <w:spacing w:after="90" w:line="280" w:lineRule="auto"/>
      </w:pPr>
      <w:r>
        <w:t>Erwartete Ausgaben (gemeinsam)</w:t>
      </w:r>
    </w:p>
    <w:p w14:paraId="6676C00C" w14:textId="77777777" w:rsidR="001D7AF9" w:rsidRDefault="002E1144">
      <w:pPr>
        <w:pStyle w:val="Listenabsatz"/>
        <w:numPr>
          <w:ilvl w:val="0"/>
          <w:numId w:val="1"/>
        </w:numPr>
        <w:spacing w:after="90" w:line="280" w:lineRule="auto"/>
      </w:pPr>
      <w:r>
        <w:t>Erwartete Inflationsrate</w:t>
      </w:r>
    </w:p>
    <w:p w14:paraId="74B27DA6" w14:textId="77777777" w:rsidR="001D7AF9" w:rsidRDefault="002E1144">
      <w:pPr>
        <w:pStyle w:val="Listenabsatz"/>
        <w:numPr>
          <w:ilvl w:val="0"/>
          <w:numId w:val="1"/>
        </w:numPr>
        <w:spacing w:after="90" w:line="280" w:lineRule="auto"/>
      </w:pPr>
      <w:r>
        <w:t>Wertschriften mit erwarteter Rendite und Sparbeitrag</w:t>
      </w:r>
    </w:p>
    <w:p w14:paraId="7E8B3BB7" w14:textId="77777777" w:rsidR="001D7AF9" w:rsidRDefault="002E1144">
      <w:pPr>
        <w:pStyle w:val="Listenabsatz"/>
        <w:numPr>
          <w:ilvl w:val="0"/>
          <w:numId w:val="1"/>
        </w:numPr>
        <w:spacing w:after="90" w:line="280" w:lineRule="auto"/>
      </w:pPr>
      <w:r>
        <w:t>Immobilien mit Wertsteigerung, Hypothek und Amortisation</w:t>
      </w:r>
    </w:p>
    <w:p w14:paraId="3E7EE9C5" w14:textId="77777777" w:rsidR="001D7AF9" w:rsidRDefault="002E1144">
      <w:pPr>
        <w:pStyle w:val="Listenabsatz"/>
        <w:numPr>
          <w:ilvl w:val="0"/>
          <w:numId w:val="1"/>
        </w:numPr>
        <w:spacing w:after="90" w:line="280" w:lineRule="auto"/>
      </w:pPr>
      <w:r>
        <w:t>Einmalige Sondereinnahmen und -ausgaben</w:t>
      </w:r>
    </w:p>
    <w:p w14:paraId="25DB0202" w14:textId="77777777" w:rsidR="001D7AF9" w:rsidRDefault="002E1144">
      <w:pPr>
        <w:pStyle w:val="Listenabsatz"/>
        <w:numPr>
          <w:ilvl w:val="0"/>
          <w:numId w:val="1"/>
        </w:numPr>
        <w:spacing w:after="90" w:line="280" w:lineRule="auto"/>
      </w:pPr>
      <w:r>
        <w:t>Bei der letzten aktiven Phase: Angaben zur Pensionierung (AHV, PK, 3a)</w:t>
      </w:r>
    </w:p>
    <w:p w14:paraId="5DE8DF97" w14:textId="77777777" w:rsidR="001D7AF9" w:rsidRDefault="002E1144">
      <w:pPr>
        <w:pStyle w:val="berschrift1"/>
        <w:pBdr>
          <w:bottom w:val="single" w:sz="6" w:space="4" w:color="2E74B5"/>
        </w:pBdr>
        <w:spacing w:before="480" w:after="240"/>
      </w:pPr>
      <w:r>
        <w:rPr>
          <w:b/>
          <w:bCs/>
          <w:color w:val="1F3864"/>
        </w:rPr>
        <w:t>4. Einkommen und Ausgaben</w:t>
      </w:r>
    </w:p>
    <w:p w14:paraId="49D68E07" w14:textId="77777777" w:rsidR="001D7AF9" w:rsidRDefault="002E1144">
      <w:pPr>
        <w:pStyle w:val="berschrift3"/>
        <w:spacing w:before="240" w:after="120"/>
      </w:pPr>
      <w:r>
        <w:rPr>
          <w:b/>
          <w:bCs/>
          <w:color w:val="2E74B5"/>
          <w:sz w:val="22"/>
          <w:szCs w:val="22"/>
        </w:rPr>
        <w:t>Einkommen</w:t>
      </w:r>
    </w:p>
    <w:p w14:paraId="47138B25" w14:textId="77777777" w:rsidR="001D7AF9" w:rsidRDefault="002E1144">
      <w:pPr>
        <w:spacing w:after="160" w:line="300" w:lineRule="auto"/>
      </w:pPr>
      <w:r>
        <w:t>Für jede Phase kann der Benutzer wählen, ob er das Einkommen pro Person einzeln oder direkt als gemeinsamen Haushaltswert eingibt:</w:t>
      </w:r>
    </w:p>
    <w:p w14:paraId="53CDD3CC" w14:textId="77777777" w:rsidR="001D7AF9" w:rsidRDefault="002E1144">
      <w:pPr>
        <w:pStyle w:val="Listenabsatz"/>
        <w:numPr>
          <w:ilvl w:val="0"/>
          <w:numId w:val="1"/>
        </w:numPr>
        <w:spacing w:after="90" w:line="280" w:lineRule="auto"/>
      </w:pPr>
      <w:r>
        <w:t>Bei Eingabe pro Person werden die Werte automatisch zu einem Haushalts-Gesamteinkommen aufsummiert.</w:t>
      </w:r>
    </w:p>
    <w:p w14:paraId="1A430C48" w14:textId="77777777" w:rsidR="001D7AF9" w:rsidRDefault="002E1144">
      <w:pPr>
        <w:pStyle w:val="Listenabsatz"/>
        <w:numPr>
          <w:ilvl w:val="0"/>
          <w:numId w:val="1"/>
        </w:numPr>
        <w:spacing w:after="90" w:line="280" w:lineRule="auto"/>
      </w:pPr>
      <w:r>
        <w:t>Bei direkter gemeinsamer Eingabe entfällt die Eingabe pro Person für diese Phase.</w:t>
      </w:r>
    </w:p>
    <w:p w14:paraId="193AF176" w14:textId="77777777" w:rsidR="001D7AF9" w:rsidRDefault="002E1144">
      <w:pPr>
        <w:pStyle w:val="berschrift3"/>
        <w:spacing w:before="240" w:after="120"/>
      </w:pPr>
      <w:r>
        <w:rPr>
          <w:b/>
          <w:bCs/>
          <w:color w:val="2E74B5"/>
          <w:sz w:val="22"/>
          <w:szCs w:val="22"/>
        </w:rPr>
        <w:t>Ausgaben</w:t>
      </w:r>
    </w:p>
    <w:p w14:paraId="054E0467" w14:textId="77777777" w:rsidR="001D7AF9" w:rsidRDefault="002E1144">
      <w:pPr>
        <w:spacing w:after="160" w:line="300" w:lineRule="auto"/>
      </w:pPr>
      <w:r>
        <w:t>Ausgaben werden bewusst nicht kategorisiert (kein Ausgabenmanager). Pro Phase wird ein einziger geschätzter Jahresbetrag für den gesamten Haushalt eingegeben. Dieser Betrag versteht sich inklusive aller laufenden Kosten – Lebenshaltung, Hypothekarzinsen, laufende Einkommens- und Vermögenssteuern usw. Ein Hilfetext weist im Tool auf diesen Umfang hin.</w:t>
      </w:r>
    </w:p>
    <w:p w14:paraId="1D0B904D" w14:textId="77777777" w:rsidR="001D7AF9" w:rsidRDefault="002E1144">
      <w:pPr>
        <w:pStyle w:val="berschrift3"/>
        <w:spacing w:before="240" w:after="120"/>
      </w:pPr>
      <w:r>
        <w:rPr>
          <w:b/>
          <w:bCs/>
          <w:color w:val="2E74B5"/>
          <w:sz w:val="22"/>
          <w:szCs w:val="22"/>
        </w:rPr>
        <w:t>Sparquote</w:t>
      </w:r>
    </w:p>
    <w:p w14:paraId="5FABAC3E" w14:textId="77777777" w:rsidR="001D7AF9" w:rsidRDefault="002E1144">
      <w:pPr>
        <w:spacing w:after="160" w:line="300" w:lineRule="auto"/>
      </w:pPr>
      <w:r>
        <w:t>Die verfügbare jährliche Sparquote wird automatisch berechnet: Haushalts-Gesamteinkommen minus Haushalts-Gesamtausgaben. Diese Sparquote steht anschliessend zur Verteilung auf einzelne Wertschriften zur Verfügung (siehe Kap. 6).</w:t>
      </w:r>
    </w:p>
    <w:p w14:paraId="57FBB14C" w14:textId="77777777" w:rsidR="001D7AF9" w:rsidRDefault="002E1144">
      <w:pPr>
        <w:pStyle w:val="berschrift1"/>
        <w:pBdr>
          <w:bottom w:val="single" w:sz="6" w:space="4" w:color="2E74B5"/>
        </w:pBdr>
        <w:spacing w:before="480" w:after="240"/>
      </w:pPr>
      <w:r>
        <w:rPr>
          <w:b/>
          <w:bCs/>
          <w:color w:val="1F3864"/>
        </w:rPr>
        <w:t>5. Wertschriften und Vermögenswerte</w:t>
      </w:r>
    </w:p>
    <w:p w14:paraId="6DCD843A" w14:textId="77777777" w:rsidR="001D7AF9" w:rsidRDefault="002E1144">
      <w:pPr>
        <w:spacing w:after="160" w:line="300" w:lineRule="auto"/>
      </w:pPr>
      <w:r>
        <w:t>Innerhalb einer Phase kann der Benutzer beliebig viele Wertschriften anlegen (z. B. „Globaler ETF“, „Schweizer Aktien“). Wertschriften gehören immer dem Haushalt als Ganzes; es gibt keine getrennte Vermögensrechnung pro Person.</w:t>
      </w:r>
    </w:p>
    <w:p w14:paraId="00569A30" w14:textId="77777777" w:rsidR="001D7AF9" w:rsidRDefault="002E1144">
      <w:pPr>
        <w:pStyle w:val="berschrift3"/>
        <w:spacing w:before="240" w:after="120"/>
      </w:pPr>
      <w:r>
        <w:rPr>
          <w:b/>
          <w:bCs/>
          <w:color w:val="2E74B5"/>
          <w:sz w:val="22"/>
          <w:szCs w:val="22"/>
        </w:rPr>
        <w:t>Pro Wertschrift wird angegeben</w:t>
      </w:r>
    </w:p>
    <w:p w14:paraId="1565D352" w14:textId="77777777" w:rsidR="001D7AF9" w:rsidRDefault="002E1144">
      <w:pPr>
        <w:pStyle w:val="Listenabsatz"/>
        <w:numPr>
          <w:ilvl w:val="0"/>
          <w:numId w:val="1"/>
        </w:numPr>
        <w:spacing w:after="90" w:line="280" w:lineRule="auto"/>
      </w:pPr>
      <w:r>
        <w:t>Freier Name</w:t>
      </w:r>
    </w:p>
    <w:p w14:paraId="7E68A6E3" w14:textId="77777777" w:rsidR="001D7AF9" w:rsidRDefault="002E1144">
      <w:pPr>
        <w:pStyle w:val="Listenabsatz"/>
        <w:numPr>
          <w:ilvl w:val="0"/>
          <w:numId w:val="1"/>
        </w:numPr>
        <w:spacing w:after="90" w:line="280" w:lineRule="auto"/>
      </w:pPr>
      <w:r>
        <w:t>Startwert (bei der ersten Phase manuell, danach aus dem Übergang der Vorphase)</w:t>
      </w:r>
    </w:p>
    <w:p w14:paraId="0FD74038" w14:textId="77777777" w:rsidR="001D7AF9" w:rsidRDefault="002E1144">
      <w:pPr>
        <w:pStyle w:val="Listenabsatz"/>
        <w:numPr>
          <w:ilvl w:val="0"/>
          <w:numId w:val="1"/>
        </w:numPr>
        <w:spacing w:after="90" w:line="280" w:lineRule="auto"/>
      </w:pPr>
      <w:r>
        <w:lastRenderedPageBreak/>
        <w:t>Erwartete jährliche Rendite (%)</w:t>
      </w:r>
    </w:p>
    <w:p w14:paraId="4FC763A8" w14:textId="77777777" w:rsidR="001D7AF9" w:rsidRDefault="002E1144">
      <w:pPr>
        <w:pStyle w:val="Listenabsatz"/>
        <w:numPr>
          <w:ilvl w:val="0"/>
          <w:numId w:val="1"/>
        </w:numPr>
        <w:spacing w:after="90" w:line="280" w:lineRule="auto"/>
      </w:pPr>
      <w:r>
        <w:t>Jährlicher Sparbeitrag (manuell zugewiesen, siehe Kap. 6)</w:t>
      </w:r>
    </w:p>
    <w:p w14:paraId="2F471087" w14:textId="77777777" w:rsidR="001D7AF9" w:rsidRDefault="002E1144">
      <w:pPr>
        <w:pStyle w:val="Listenabsatz"/>
        <w:numPr>
          <w:ilvl w:val="0"/>
          <w:numId w:val="1"/>
        </w:numPr>
        <w:spacing w:after="90" w:line="280" w:lineRule="auto"/>
      </w:pPr>
      <w:r>
        <w:t>Optional: Zuordnung „gehört Person A / Person B / beiden“ – rein informativ, ohne Einfluss auf die Berechnung</w:t>
      </w:r>
    </w:p>
    <w:p w14:paraId="5451E57B" w14:textId="77777777" w:rsidR="001D7AF9" w:rsidRDefault="002E1144">
      <w:pPr>
        <w:spacing w:after="160" w:line="300" w:lineRule="auto"/>
      </w:pPr>
      <w:r>
        <w:t>Am Ende jeder Phase berechnet das Tool den Endwert jeder Wertschrift auf Basis von Zinseszins (Rendite + jährlicher Sparbeitrag).</w:t>
      </w:r>
    </w:p>
    <w:p w14:paraId="64DD82BD" w14:textId="77777777" w:rsidR="001D7AF9" w:rsidRDefault="002E1144">
      <w:pPr>
        <w:pStyle w:val="berschrift1"/>
        <w:pBdr>
          <w:bottom w:val="single" w:sz="6" w:space="4" w:color="2E74B5"/>
        </w:pBdr>
        <w:spacing w:before="480" w:after="240"/>
      </w:pPr>
      <w:r>
        <w:rPr>
          <w:b/>
          <w:bCs/>
          <w:color w:val="1F3864"/>
        </w:rPr>
        <w:t>6. Verteilung der Sparquote</w:t>
      </w:r>
    </w:p>
    <w:p w14:paraId="20ED6B72" w14:textId="77777777" w:rsidR="001D7AF9" w:rsidRDefault="002E1144">
      <w:pPr>
        <w:spacing w:after="160" w:line="300" w:lineRule="auto"/>
      </w:pPr>
      <w:r>
        <w:t>Die berechnete Sparquote (Kap. 4) wird vom Benutzer manuell auf die einzelnen Wertschriften der Phase verteilt (z. B. CHF 4'000 in den ETF, CHF 1'000 in Einzelaktien). Das Tool schlägt keine automatische Verteilung vor.</w:t>
      </w:r>
    </w:p>
    <w:p w14:paraId="4F3FC5A3" w14:textId="77777777" w:rsidR="001D7AF9" w:rsidRDefault="002E1144">
      <w:pPr>
        <w:pBdr>
          <w:left w:val="single" w:sz="18" w:space="6" w:color="2E74B5"/>
        </w:pBdr>
        <w:shd w:val="clear" w:color="auto" w:fill="DDEBF7"/>
        <w:spacing w:before="80" w:after="200"/>
        <w:ind w:left="120"/>
      </w:pPr>
      <w:r>
        <w:rPr>
          <w:i/>
          <w:iCs/>
          <w:color w:val="333333"/>
          <w:sz w:val="20"/>
          <w:szCs w:val="20"/>
        </w:rPr>
        <w:t>💡</w:t>
      </w:r>
      <w:r>
        <w:rPr>
          <w:i/>
          <w:iCs/>
          <w:color w:val="333333"/>
          <w:sz w:val="20"/>
          <w:szCs w:val="20"/>
        </w:rPr>
        <w:t xml:space="preserve"> Das Tool prüft im Hintergrund, dass die Summe der zugewiesenen Beträge die verfügbare Sparquote nicht übersteigt, und warnt den Benutzer, falls doch.</w:t>
      </w:r>
    </w:p>
    <w:p w14:paraId="5C8DD428" w14:textId="77777777" w:rsidR="001D7AF9" w:rsidRDefault="002E1144">
      <w:pPr>
        <w:pStyle w:val="berschrift1"/>
        <w:pBdr>
          <w:bottom w:val="single" w:sz="6" w:space="4" w:color="2E74B5"/>
        </w:pBdr>
        <w:spacing w:before="480" w:after="240"/>
      </w:pPr>
      <w:r>
        <w:rPr>
          <w:b/>
          <w:bCs/>
          <w:color w:val="1F3864"/>
        </w:rPr>
        <w:t>7. Immobilien</w:t>
      </w:r>
    </w:p>
    <w:p w14:paraId="4810E97C" w14:textId="77777777" w:rsidR="001D7AF9" w:rsidRDefault="002E1144">
      <w:pPr>
        <w:spacing w:after="160" w:line="300" w:lineRule="auto"/>
      </w:pPr>
      <w:r>
        <w:t>Immobilien werden analog zu Wertschriften pro Phase erfasst, mit eigenen Feldern:</w:t>
      </w:r>
    </w:p>
    <w:p w14:paraId="4BDA038D" w14:textId="77777777" w:rsidR="001D7AF9" w:rsidRDefault="002E1144">
      <w:pPr>
        <w:pStyle w:val="Listenabsatz"/>
        <w:numPr>
          <w:ilvl w:val="0"/>
          <w:numId w:val="1"/>
        </w:numPr>
        <w:spacing w:after="90" w:line="280" w:lineRule="auto"/>
      </w:pPr>
      <w:r>
        <w:t>Aktueller Marktwert</w:t>
      </w:r>
    </w:p>
    <w:p w14:paraId="05C71955" w14:textId="77777777" w:rsidR="001D7AF9" w:rsidRDefault="002E1144">
      <w:pPr>
        <w:pStyle w:val="Listenabsatz"/>
        <w:numPr>
          <w:ilvl w:val="0"/>
          <w:numId w:val="1"/>
        </w:numPr>
        <w:spacing w:after="90" w:line="280" w:lineRule="auto"/>
      </w:pPr>
      <w:r>
        <w:t>Aktuelle Hypothek</w:t>
      </w:r>
    </w:p>
    <w:p w14:paraId="422394F1" w14:textId="77777777" w:rsidR="001D7AF9" w:rsidRDefault="002E1144">
      <w:pPr>
        <w:pStyle w:val="Listenabsatz"/>
        <w:numPr>
          <w:ilvl w:val="0"/>
          <w:numId w:val="1"/>
        </w:numPr>
        <w:spacing w:after="90" w:line="280" w:lineRule="auto"/>
      </w:pPr>
      <w:r>
        <w:t>Erwartete jährliche Wertsteigerung (%)</w:t>
      </w:r>
    </w:p>
    <w:p w14:paraId="6A15AAD4" w14:textId="77777777" w:rsidR="001D7AF9" w:rsidRDefault="002E1144">
      <w:pPr>
        <w:pStyle w:val="Listenabsatz"/>
        <w:numPr>
          <w:ilvl w:val="0"/>
          <w:numId w:val="1"/>
        </w:numPr>
        <w:spacing w:after="90" w:line="280" w:lineRule="auto"/>
      </w:pPr>
      <w:r>
        <w:t>Erwartete jährliche Amortisation (CHF)</w:t>
      </w:r>
    </w:p>
    <w:p w14:paraId="5C477994" w14:textId="77777777" w:rsidR="001D7AF9" w:rsidRDefault="002E1144">
      <w:pPr>
        <w:spacing w:after="160" w:line="300" w:lineRule="auto"/>
      </w:pPr>
      <w:r>
        <w:t>Entscheidet sich der Benutzer, die Immobilie am Ende einer Phase zu verkaufen, wird der geschätzte Verkaufspreis erfasst; auf dieser Basis berechnet das Tool automatisch eine geschätzte Grundstückgewinnsteuer (siehe Kap. 9).</w:t>
      </w:r>
    </w:p>
    <w:p w14:paraId="3D10188E" w14:textId="77777777" w:rsidR="001D7AF9" w:rsidRDefault="002E1144">
      <w:pPr>
        <w:pStyle w:val="berschrift1"/>
        <w:pBdr>
          <w:bottom w:val="single" w:sz="6" w:space="4" w:color="2E74B5"/>
        </w:pBdr>
        <w:spacing w:before="480" w:after="240"/>
      </w:pPr>
      <w:r>
        <w:rPr>
          <w:b/>
          <w:bCs/>
          <w:color w:val="1F3864"/>
        </w:rPr>
        <w:t>8. Pensionierung und Vorsorge</w:t>
      </w:r>
    </w:p>
    <w:p w14:paraId="2D8AC7BE" w14:textId="77777777" w:rsidR="001D7AF9" w:rsidRDefault="002E1144">
      <w:pPr>
        <w:spacing w:after="160" w:line="300" w:lineRule="auto"/>
      </w:pPr>
      <w:r>
        <w:t>Sobald eine Phase den Beginn der Pensionierung einer Person markiert, stehen zusätzliche Felder zur Verfügung:</w:t>
      </w:r>
    </w:p>
    <w:p w14:paraId="401D9ACA" w14:textId="77777777" w:rsidR="001D7AF9" w:rsidRDefault="002E1144">
      <w:pPr>
        <w:pStyle w:val="Listenabsatz"/>
        <w:numPr>
          <w:ilvl w:val="0"/>
          <w:numId w:val="1"/>
        </w:numPr>
        <w:spacing w:after="90" w:line="280" w:lineRule="auto"/>
      </w:pPr>
      <w:r>
        <w:rPr>
          <w:b/>
          <w:bCs/>
        </w:rPr>
        <w:t xml:space="preserve">Erwartete Rente: </w:t>
      </w:r>
      <w:r>
        <w:t>zusammengesetzt aus AHV- und PK-Rente (mit Info-Bubble zur Erklärung der Zusammensetzung).</w:t>
      </w:r>
    </w:p>
    <w:p w14:paraId="4AC81E42" w14:textId="77777777" w:rsidR="001D7AF9" w:rsidRDefault="002E1144">
      <w:pPr>
        <w:pStyle w:val="Listenabsatz"/>
        <w:numPr>
          <w:ilvl w:val="0"/>
          <w:numId w:val="1"/>
        </w:numPr>
        <w:spacing w:after="90" w:line="280" w:lineRule="auto"/>
      </w:pPr>
      <w:r>
        <w:rPr>
          <w:b/>
          <w:bCs/>
        </w:rPr>
        <w:t xml:space="preserve">Erwarteter Kapitalbezug: </w:t>
      </w:r>
      <w:r>
        <w:t>zusammengesetzt aus Säule 3a und PK-Kapitalbezug (mit Info-Bubble).</w:t>
      </w:r>
    </w:p>
    <w:p w14:paraId="7A3DB2DF" w14:textId="77777777" w:rsidR="001D7AF9" w:rsidRDefault="002E1144">
      <w:pPr>
        <w:spacing w:after="160" w:line="300" w:lineRule="auto"/>
      </w:pPr>
      <w:r>
        <w:t>Bei einem Kapitalbezug wird automatisch eine geschätzte Kapitalbezugssteuer abgezogen; angezeigt wird sowohl der Brutto- als auch der Netto-Betrag (siehe Kap. 9).</w:t>
      </w:r>
    </w:p>
    <w:p w14:paraId="2C04209B" w14:textId="77777777" w:rsidR="001D7AF9" w:rsidRDefault="002E1144">
      <w:pPr>
        <w:pBdr>
          <w:left w:val="single" w:sz="18" w:space="6" w:color="2E74B5"/>
        </w:pBdr>
        <w:shd w:val="clear" w:color="auto" w:fill="DDEBF7"/>
        <w:spacing w:before="80" w:after="200"/>
        <w:ind w:left="120"/>
      </w:pPr>
      <w:r>
        <w:rPr>
          <w:i/>
          <w:iCs/>
          <w:color w:val="333333"/>
          <w:sz w:val="20"/>
          <w:szCs w:val="20"/>
        </w:rPr>
        <w:t>💡</w:t>
      </w:r>
      <w:r>
        <w:rPr>
          <w:i/>
          <w:iCs/>
          <w:color w:val="333333"/>
          <w:sz w:val="20"/>
          <w:szCs w:val="20"/>
        </w:rPr>
        <w:t xml:space="preserve"> Sind beide Personen eines Haushalts pensioniert, ist zu berücksichtigen, dass Ehepaare zusammen maximal das 1,5-fache einer einzelnen AHV-Maximalrente erhalten (Plafonierung), nicht das Doppelte. Das Tool weist bei Eingabe der zweiten AHV-Rente im Haushalt darauf hin.</w:t>
      </w:r>
    </w:p>
    <w:p w14:paraId="35639D12" w14:textId="77777777" w:rsidR="001D7AF9" w:rsidRDefault="002E1144">
      <w:pPr>
        <w:pStyle w:val="berschrift1"/>
        <w:pBdr>
          <w:bottom w:val="single" w:sz="6" w:space="4" w:color="2E74B5"/>
        </w:pBdr>
        <w:spacing w:before="480" w:after="240"/>
      </w:pPr>
      <w:r>
        <w:rPr>
          <w:b/>
          <w:bCs/>
          <w:color w:val="1F3864"/>
        </w:rPr>
        <w:lastRenderedPageBreak/>
        <w:t>9. Steuern (vereinfachte Abschätzung)</w:t>
      </w:r>
    </w:p>
    <w:p w14:paraId="498D8F4F" w14:textId="77777777" w:rsidR="001D7AF9" w:rsidRDefault="002E1144">
      <w:pPr>
        <w:spacing w:after="160" w:line="300" w:lineRule="auto"/>
      </w:pPr>
      <w:r>
        <w:t>Das FPT ist bewusst kein Steuerrechner. Laufende Steuern (Einkommens- und Vermögenssteuer) sind pauschal in den generischen Ausgaben einer Phase enthalten (Kap. 4) und werden nicht separat berechnet.</w:t>
      </w:r>
    </w:p>
    <w:p w14:paraId="56BFA662" w14:textId="77777777" w:rsidR="001D7AF9" w:rsidRDefault="002E1144">
      <w:pPr>
        <w:spacing w:after="160" w:line="300" w:lineRule="auto"/>
      </w:pPr>
      <w:r>
        <w:t>Für die drei Ereignisse im Leben, bei denen typischerweise grössere Einmalbeträge anfallen, bietet das Tool jedoch eine automatische pauschale Steuerabschätzung an – jeweils mit einem manuell editierbaren Prozentsatz pro Ereignis (nicht global):</w:t>
      </w:r>
    </w:p>
    <w:p w14:paraId="115EF1E5" w14:textId="77777777" w:rsidR="001D7AF9" w:rsidRDefault="002E1144">
      <w:pPr>
        <w:pStyle w:val="Listenabsatz"/>
        <w:numPr>
          <w:ilvl w:val="0"/>
          <w:numId w:val="1"/>
        </w:numPr>
        <w:spacing w:after="90" w:line="280" w:lineRule="auto"/>
      </w:pPr>
      <w:r>
        <w:rPr>
          <w:b/>
          <w:bCs/>
        </w:rPr>
        <w:t xml:space="preserve">Immobilienverkauf: </w:t>
      </w:r>
      <w:r>
        <w:t>geschätzte Grundstückgewinnsteuer auf den Verkaufsgewinn.</w:t>
      </w:r>
    </w:p>
    <w:p w14:paraId="02728E13" w14:textId="77777777" w:rsidR="001D7AF9" w:rsidRDefault="002E1144">
      <w:pPr>
        <w:pStyle w:val="Listenabsatz"/>
        <w:numPr>
          <w:ilvl w:val="0"/>
          <w:numId w:val="1"/>
        </w:numPr>
        <w:spacing w:after="90" w:line="280" w:lineRule="auto"/>
      </w:pPr>
      <w:r>
        <w:rPr>
          <w:b/>
          <w:bCs/>
        </w:rPr>
        <w:t xml:space="preserve">PK-/3a-Kapitalbezug: </w:t>
      </w:r>
      <w:r>
        <w:t>geschätzte Kapitalbezugssteuer auf den Bruttobetrag.</w:t>
      </w:r>
    </w:p>
    <w:p w14:paraId="7FC124FF" w14:textId="77777777" w:rsidR="001D7AF9" w:rsidRDefault="002E1144">
      <w:pPr>
        <w:pStyle w:val="Listenabsatz"/>
        <w:numPr>
          <w:ilvl w:val="0"/>
          <w:numId w:val="1"/>
        </w:numPr>
        <w:spacing w:after="90" w:line="280" w:lineRule="auto"/>
      </w:pPr>
      <w:r>
        <w:rPr>
          <w:b/>
          <w:bCs/>
        </w:rPr>
        <w:t xml:space="preserve">Verkauf von Wertschriften (Aktien): </w:t>
      </w:r>
      <w:r>
        <w:t>siehe wichtiger Hinweis unten.</w:t>
      </w:r>
    </w:p>
    <w:p w14:paraId="2FB55063" w14:textId="77777777" w:rsidR="001D7AF9" w:rsidRDefault="002E1144">
      <w:pPr>
        <w:pBdr>
          <w:left w:val="single" w:sz="18" w:space="6" w:color="2E74B5"/>
        </w:pBdr>
        <w:shd w:val="clear" w:color="auto" w:fill="DDEBF7"/>
        <w:spacing w:before="80" w:after="200"/>
        <w:ind w:left="120"/>
      </w:pPr>
      <w:r>
        <w:rPr>
          <w:i/>
          <w:iCs/>
          <w:color w:val="333333"/>
          <w:sz w:val="20"/>
          <w:szCs w:val="20"/>
        </w:rPr>
        <w:t>💡</w:t>
      </w:r>
      <w:r>
        <w:rPr>
          <w:i/>
          <w:iCs/>
          <w:color w:val="333333"/>
          <w:sz w:val="20"/>
          <w:szCs w:val="20"/>
        </w:rPr>
        <w:t xml:space="preserve"> Rechercheergebnis: Kapitalgewinne aus dem Verkauf von privat gehaltenen Wertschriften (Aktien, ETFs) sind in der Schweiz für Privatpersonen in aller Regel steuerfrei (Art. 16 Abs. 3 DBG), solange keine Einstufung als „gewerbsmässiger Wertschriftenhändler“ vorliegt (Kriterien u. a.: Haltedauer ≥ 6 Monate, Handelsvolumen ≤ 5-faches des Depotwerts, Gewinne &lt; 50 % des Nettoeinkommens, keine Fremdfinanzierung). Das Feld für den Steuersatz beim Wertschriftenverkauf wird deshalb mit einem Default von 0 % vorbeleg</w:t>
      </w:r>
      <w:r>
        <w:rPr>
          <w:i/>
          <w:iCs/>
          <w:color w:val="333333"/>
          <w:sz w:val="20"/>
          <w:szCs w:val="20"/>
        </w:rPr>
        <w:t>t, bleibt aber editierbar – für den seltenen Fall, dass der Benutzer sich selbst als gewerbsmässigen Händler einschätzt oder künftige Gesetzesänderungen eine Kapitalgewinnsteuer einführen. Ein Info-Bubble erklärt diesen Sachverhalt. Damit entfällt die im Memo angenommene Notwendigkeit einer Steuerschätzung bei jedem Aktienverkauf grösstenteils.</w:t>
      </w:r>
    </w:p>
    <w:p w14:paraId="59D9B935" w14:textId="77777777" w:rsidR="001D7AF9" w:rsidRDefault="002E1144">
      <w:pPr>
        <w:spacing w:after="160" w:line="300" w:lineRule="auto"/>
      </w:pPr>
      <w:r>
        <w:t>Zu jedem Prozentsatz-Feld zeigt ein Info-Bubble eine realistische Bandbreite als Orientierungshilfe (recherchierte Werte, siehe Kap. 9 in Teil 2 für die konkreten Zahlen und Quellen).</w:t>
      </w:r>
    </w:p>
    <w:p w14:paraId="10A31EE4" w14:textId="77777777" w:rsidR="001D7AF9" w:rsidRDefault="002E1144">
      <w:pPr>
        <w:pStyle w:val="berschrift1"/>
        <w:pBdr>
          <w:bottom w:val="single" w:sz="6" w:space="4" w:color="2E74B5"/>
        </w:pBdr>
        <w:spacing w:before="480" w:after="240"/>
      </w:pPr>
      <w:r>
        <w:rPr>
          <w:b/>
          <w:bCs/>
          <w:color w:val="1F3864"/>
        </w:rPr>
        <w:t>10. Übergang zwischen zwei Phasen</w:t>
      </w:r>
    </w:p>
    <w:p w14:paraId="5CE4D53C" w14:textId="77777777" w:rsidR="001D7AF9" w:rsidRDefault="002E1144">
      <w:pPr>
        <w:spacing w:after="160" w:line="300" w:lineRule="auto"/>
      </w:pPr>
      <w:r>
        <w:t>Der Übergang von einer Phase zur nächsten ist ein eigenständiger, klar sichtbarer Schritt in der Benutzeroberfläche – vergleichbar mit einer Bilanzübertragung. Es gibt bewusst keinen automatischen 1:1-Übertrag.</w:t>
      </w:r>
    </w:p>
    <w:p w14:paraId="51D558C8" w14:textId="77777777" w:rsidR="001D7AF9" w:rsidRDefault="002E1144">
      <w:pPr>
        <w:spacing w:after="160" w:line="300" w:lineRule="auto"/>
      </w:pPr>
      <w:r>
        <w:t>Im Übergangs-Schritt entscheidet der Benutzer für jede bestehende Wertschrift und Immobilie aus der vorangegangenen Phase aktiv:</w:t>
      </w:r>
    </w:p>
    <w:p w14:paraId="00BBBF69" w14:textId="77777777" w:rsidR="001D7AF9" w:rsidRDefault="002E1144">
      <w:pPr>
        <w:pStyle w:val="Listenabsatz"/>
        <w:numPr>
          <w:ilvl w:val="0"/>
          <w:numId w:val="1"/>
        </w:numPr>
        <w:spacing w:after="90" w:line="280" w:lineRule="auto"/>
      </w:pPr>
      <w:r>
        <w:t>Übernehmen (Position bleibt unverändert in der neuen Phase bestehen)</w:t>
      </w:r>
    </w:p>
    <w:p w14:paraId="3DAACEF3" w14:textId="77777777" w:rsidR="001D7AF9" w:rsidRDefault="002E1144">
      <w:pPr>
        <w:pStyle w:val="Listenabsatz"/>
        <w:numPr>
          <w:ilvl w:val="0"/>
          <w:numId w:val="1"/>
        </w:numPr>
        <w:spacing w:after="90" w:line="280" w:lineRule="auto"/>
      </w:pPr>
      <w:r>
        <w:t>Verkaufen (Position wird liquidiert; Erlös – ggf. abzüglich Steuer – steht als zusätzliches Startkapital zur Verfügung)</w:t>
      </w:r>
    </w:p>
    <w:p w14:paraId="5CD215C5" w14:textId="77777777" w:rsidR="001D7AF9" w:rsidRDefault="002E1144">
      <w:pPr>
        <w:spacing w:after="160" w:line="300" w:lineRule="auto"/>
      </w:pPr>
      <w:r>
        <w:t>Das verfügbare Startkapital der neuen Phase (Summe aller übernommenen/verkauften Positionen) kann anschliessend frei auf neue oder bestehende Wertschriften verteilt werden.</w:t>
      </w:r>
    </w:p>
    <w:p w14:paraId="029A158A" w14:textId="77777777" w:rsidR="001D7AF9" w:rsidRDefault="002E1144">
      <w:pPr>
        <w:pStyle w:val="berschrift1"/>
        <w:pBdr>
          <w:bottom w:val="single" w:sz="6" w:space="4" w:color="2E74B5"/>
        </w:pBdr>
        <w:spacing w:before="480" w:after="240"/>
      </w:pPr>
      <w:r>
        <w:rPr>
          <w:b/>
          <w:bCs/>
          <w:color w:val="1F3864"/>
        </w:rPr>
        <w:t>11. Nominale und reale (kaufkraftbereinigte) Werte</w:t>
      </w:r>
    </w:p>
    <w:p w14:paraId="6C3902FB" w14:textId="77777777" w:rsidR="001D7AF9" w:rsidRDefault="002E1144">
      <w:pPr>
        <w:spacing w:after="160" w:line="300" w:lineRule="auto"/>
      </w:pPr>
      <w:r>
        <w:t>Am Ende jeder Phase zeigt das Tool das Gesamtvermögen in zwei Varianten an:</w:t>
      </w:r>
    </w:p>
    <w:p w14:paraId="62344BB3" w14:textId="77777777" w:rsidR="001D7AF9" w:rsidRDefault="002E1144">
      <w:pPr>
        <w:pStyle w:val="Listenabsatz"/>
        <w:numPr>
          <w:ilvl w:val="0"/>
          <w:numId w:val="1"/>
        </w:numPr>
        <w:spacing w:after="90" w:line="280" w:lineRule="auto"/>
      </w:pPr>
      <w:r>
        <w:rPr>
          <w:b/>
          <w:bCs/>
        </w:rPr>
        <w:t xml:space="preserve">Nominaler Wert: </w:t>
      </w:r>
      <w:r>
        <w:t>der tatsächlich berechnete Frankenbetrag ohne Anpassung.</w:t>
      </w:r>
    </w:p>
    <w:p w14:paraId="0B48EDD1" w14:textId="77777777" w:rsidR="001D7AF9" w:rsidRDefault="002E1144">
      <w:pPr>
        <w:pStyle w:val="Listenabsatz"/>
        <w:numPr>
          <w:ilvl w:val="0"/>
          <w:numId w:val="1"/>
        </w:numPr>
        <w:spacing w:after="90" w:line="280" w:lineRule="auto"/>
      </w:pPr>
      <w:r>
        <w:rPr>
          <w:b/>
          <w:bCs/>
        </w:rPr>
        <w:t xml:space="preserve">Realer Wert: </w:t>
      </w:r>
      <w:r>
        <w:t>derselbe Betrag, angepasst um die kumulierte Inflation seit Planbeginn – zeigt die tatsächliche Kaufkraft.</w:t>
      </w:r>
    </w:p>
    <w:p w14:paraId="07D831F6" w14:textId="77777777" w:rsidR="001D7AF9" w:rsidRDefault="002E1144">
      <w:pPr>
        <w:spacing w:after="160" w:line="300" w:lineRule="auto"/>
      </w:pPr>
      <w:r>
        <w:lastRenderedPageBreak/>
        <w:t>Beide Werte werden nebeneinander dargestellt, damit der Benutzer den Effekt der Inflation über die Zeit direkt erkennt.</w:t>
      </w:r>
    </w:p>
    <w:p w14:paraId="0C016557" w14:textId="77777777" w:rsidR="001D7AF9" w:rsidRDefault="002E1144">
      <w:pPr>
        <w:pStyle w:val="berschrift1"/>
        <w:pBdr>
          <w:bottom w:val="single" w:sz="6" w:space="4" w:color="2E74B5"/>
        </w:pBdr>
        <w:spacing w:before="480" w:after="240"/>
      </w:pPr>
      <w:r>
        <w:rPr>
          <w:b/>
          <w:bCs/>
          <w:color w:val="1F3864"/>
        </w:rPr>
        <w:t>12. Nachlass am Lebensende</w:t>
      </w:r>
    </w:p>
    <w:p w14:paraId="2C996C36" w14:textId="77777777" w:rsidR="001D7AF9" w:rsidRDefault="002E1144">
      <w:pPr>
        <w:spacing w:after="160" w:line="300" w:lineRule="auto"/>
      </w:pPr>
      <w:r>
        <w:t>Es gibt kein separates „Sterbealter“-Feld. Das Lebensende ergibt sich implizit daraus, dass nach der letzten definierten Phase keine weitere Phase mehr eröffnet wird. Für die letzte Phase eines Plans zeigt das Tool zusätzlich einen Wert „geschätzter Nachlass“ – das Endvermögen dieser letzten Phase, das potenziell vererbt werden könnte.</w:t>
      </w:r>
    </w:p>
    <w:p w14:paraId="14D91089" w14:textId="77777777" w:rsidR="001D7AF9" w:rsidRDefault="002E1144">
      <w:pPr>
        <w:pStyle w:val="berschrift1"/>
        <w:pBdr>
          <w:bottom w:val="single" w:sz="6" w:space="4" w:color="2E74B5"/>
        </w:pBdr>
        <w:spacing w:before="480" w:after="240"/>
      </w:pPr>
      <w:r>
        <w:rPr>
          <w:b/>
          <w:bCs/>
          <w:color w:val="1F3864"/>
        </w:rPr>
        <w:t>13. Pläne und Szenarien</w:t>
      </w:r>
    </w:p>
    <w:p w14:paraId="665C2518" w14:textId="77777777" w:rsidR="001D7AF9" w:rsidRDefault="002E1144">
      <w:pPr>
        <w:spacing w:after="160" w:line="300" w:lineRule="auto"/>
      </w:pPr>
      <w:r>
        <w:t>Ein Plan ist eine vollständige Kette von Lebensabschnittsphasen vom heutigen Zeitpunkt bis zum Lebensende. Über den Plänen liegt eine Registerleiste (Tabs), über die mehrere Pläne parallel verwaltet werden können.</w:t>
      </w:r>
    </w:p>
    <w:p w14:paraId="7807F4F0" w14:textId="77777777" w:rsidR="001D7AF9" w:rsidRDefault="002E1144">
      <w:pPr>
        <w:pStyle w:val="berschrift3"/>
        <w:spacing w:before="240" w:after="120"/>
      </w:pPr>
      <w:r>
        <w:rPr>
          <w:b/>
          <w:bCs/>
          <w:color w:val="2E74B5"/>
          <w:sz w:val="22"/>
          <w:szCs w:val="22"/>
        </w:rPr>
        <w:t>Szenario-Konzept</w:t>
      </w:r>
    </w:p>
    <w:p w14:paraId="644C989E" w14:textId="77777777" w:rsidR="001D7AF9" w:rsidRDefault="002E1144">
      <w:pPr>
        <w:pStyle w:val="Listenabsatz"/>
        <w:numPr>
          <w:ilvl w:val="0"/>
          <w:numId w:val="1"/>
        </w:numPr>
        <w:spacing w:after="90" w:line="280" w:lineRule="auto"/>
      </w:pPr>
      <w:r>
        <w:t>Ein Benutzer kann jederzeit eine Kopie eines bestehenden Plans ab einem beliebigen Zeitpunkt (nicht zwingend vom Anfang an) als neues Szenario anlegen, z. B. „Basisplan“ und „Szenario: früher pensionieren“.</w:t>
      </w:r>
    </w:p>
    <w:p w14:paraId="6987C1EF" w14:textId="77777777" w:rsidR="001D7AF9" w:rsidRDefault="002E1144">
      <w:pPr>
        <w:pStyle w:val="Listenabsatz"/>
        <w:numPr>
          <w:ilvl w:val="0"/>
          <w:numId w:val="1"/>
        </w:numPr>
        <w:spacing w:after="90" w:line="280" w:lineRule="auto"/>
      </w:pPr>
      <w:r>
        <w:t>Jedes Szenario erscheint als eigenes Register und kann unabhängig weiterbearbeitet werden.</w:t>
      </w:r>
    </w:p>
    <w:p w14:paraId="1827D42E" w14:textId="77777777" w:rsidR="001D7AF9" w:rsidRDefault="002E1144">
      <w:pPr>
        <w:pStyle w:val="Listenabsatz"/>
        <w:numPr>
          <w:ilvl w:val="0"/>
          <w:numId w:val="1"/>
        </w:numPr>
        <w:spacing w:after="90" w:line="280" w:lineRule="auto"/>
      </w:pPr>
      <w:r>
        <w:t>Eine Vergleichsansicht stellt mehrere Szenarien nebeneinander dar (siehe Kap. 14).</w:t>
      </w:r>
    </w:p>
    <w:p w14:paraId="4B03A0D5" w14:textId="77777777" w:rsidR="001D7AF9" w:rsidRDefault="002E1144">
      <w:pPr>
        <w:pStyle w:val="berschrift3"/>
        <w:spacing w:before="240" w:after="120"/>
      </w:pPr>
      <w:r>
        <w:rPr>
          <w:b/>
          <w:bCs/>
          <w:color w:val="2E74B5"/>
          <w:sz w:val="22"/>
          <w:szCs w:val="22"/>
        </w:rPr>
        <w:t>Ein- und Ausklappbare Phasen</w:t>
      </w:r>
    </w:p>
    <w:p w14:paraId="653DE717" w14:textId="77777777" w:rsidR="001D7AF9" w:rsidRDefault="002E1144">
      <w:pPr>
        <w:spacing w:after="160" w:line="300" w:lineRule="auto"/>
      </w:pPr>
      <w:r>
        <w:t>Damit lange Pläne mit vielen Phasen übersichtlich bleiben, werden Phasen standardmässig eingeklappt dargestellt und zeigen nur Kernkennzahlen: Dauer, Startvermögen, Endvermögen (nominal). Ein Klick klappt die Phase auf und zeigt alle Detailangaben und Berechnungen.</w:t>
      </w:r>
    </w:p>
    <w:p w14:paraId="12D743C9" w14:textId="77777777" w:rsidR="001D7AF9" w:rsidRDefault="002E1144">
      <w:pPr>
        <w:pStyle w:val="berschrift1"/>
        <w:pBdr>
          <w:bottom w:val="single" w:sz="6" w:space="4" w:color="2E74B5"/>
        </w:pBdr>
        <w:spacing w:before="480" w:after="240"/>
      </w:pPr>
      <w:r>
        <w:rPr>
          <w:b/>
          <w:bCs/>
          <w:color w:val="1F3864"/>
        </w:rPr>
        <w:t>14. Auswertung, Dashboard und Export</w:t>
      </w:r>
    </w:p>
    <w:p w14:paraId="6750351B" w14:textId="77777777" w:rsidR="001D7AF9" w:rsidRDefault="002E1144">
      <w:pPr>
        <w:spacing w:after="160" w:line="300" w:lineRule="auto"/>
      </w:pPr>
      <w:r>
        <w:t>Das FPT bietet eine visuelle Gesamtübersicht über den Plan bzw. über mehrere Szenarien:</w:t>
      </w:r>
    </w:p>
    <w:p w14:paraId="0B124AC4" w14:textId="77777777" w:rsidR="001D7AF9" w:rsidRDefault="002E1144">
      <w:pPr>
        <w:pStyle w:val="Listenabsatz"/>
        <w:numPr>
          <w:ilvl w:val="0"/>
          <w:numId w:val="1"/>
        </w:numPr>
        <w:spacing w:after="90" w:line="280" w:lineRule="auto"/>
      </w:pPr>
      <w:r>
        <w:rPr>
          <w:b/>
          <w:bCs/>
        </w:rPr>
        <w:t xml:space="preserve">Vermögensverlauf-Diagramm: </w:t>
      </w:r>
      <w:r>
        <w:t>Linienchart über alle Phasen, mit separaten Linien für nominalen und realen Wert sowie Markierungen an den Phasengrenzen.</w:t>
      </w:r>
    </w:p>
    <w:p w14:paraId="57CB01A4" w14:textId="77777777" w:rsidR="001D7AF9" w:rsidRDefault="002E1144">
      <w:pPr>
        <w:pStyle w:val="Listenabsatz"/>
        <w:numPr>
          <w:ilvl w:val="0"/>
          <w:numId w:val="1"/>
        </w:numPr>
        <w:spacing w:after="90" w:line="280" w:lineRule="auto"/>
      </w:pPr>
      <w:r>
        <w:rPr>
          <w:b/>
          <w:bCs/>
        </w:rPr>
        <w:t xml:space="preserve">Vermögensaufteilung pro Phase: </w:t>
      </w:r>
      <w:r>
        <w:t>Balkendarstellung, wie sich das Endvermögen auf die einzelnen Wertschriften/Immobilien verteilt.</w:t>
      </w:r>
    </w:p>
    <w:p w14:paraId="220AD283" w14:textId="77777777" w:rsidR="001D7AF9" w:rsidRDefault="002E1144">
      <w:pPr>
        <w:pStyle w:val="Listenabsatz"/>
        <w:numPr>
          <w:ilvl w:val="0"/>
          <w:numId w:val="1"/>
        </w:numPr>
        <w:spacing w:after="90" w:line="280" w:lineRule="auto"/>
      </w:pPr>
      <w:r>
        <w:rPr>
          <w:b/>
          <w:bCs/>
        </w:rPr>
        <w:t xml:space="preserve">Szenario-Vergleich: </w:t>
      </w:r>
      <w:r>
        <w:t>überlagerte Linien mehrerer Szenarien im selben Diagramm.</w:t>
      </w:r>
    </w:p>
    <w:p w14:paraId="143AAE94" w14:textId="77777777" w:rsidR="001D7AF9" w:rsidRDefault="002E1144">
      <w:pPr>
        <w:pStyle w:val="Listenabsatz"/>
        <w:numPr>
          <w:ilvl w:val="0"/>
          <w:numId w:val="1"/>
        </w:numPr>
        <w:spacing w:after="90" w:line="280" w:lineRule="auto"/>
      </w:pPr>
      <w:r>
        <w:rPr>
          <w:b/>
          <w:bCs/>
        </w:rPr>
        <w:t xml:space="preserve">Datenexport: </w:t>
      </w:r>
      <w:r>
        <w:t>einfacher Tabellenexport (CSV/Excel) der Rohdaten pro Phase – kein eigenständiges Reporting-Modul.</w:t>
      </w:r>
    </w:p>
    <w:p w14:paraId="2A482614" w14:textId="77777777" w:rsidR="001D7AF9" w:rsidRDefault="002E1144">
      <w:r>
        <w:br w:type="page"/>
      </w:r>
    </w:p>
    <w:p w14:paraId="2CE99D97" w14:textId="77777777" w:rsidR="001D7AF9" w:rsidRDefault="002E1144">
      <w:pPr>
        <w:spacing w:before="1200" w:after="1200"/>
        <w:jc w:val="center"/>
      </w:pPr>
      <w:r>
        <w:rPr>
          <w:b/>
          <w:bCs/>
          <w:color w:val="2E74B5"/>
          <w:sz w:val="44"/>
          <w:szCs w:val="44"/>
        </w:rPr>
        <w:lastRenderedPageBreak/>
        <w:t>TEIL 2</w:t>
      </w:r>
    </w:p>
    <w:p w14:paraId="194F78E8" w14:textId="77777777" w:rsidR="001D7AF9" w:rsidRDefault="002E1144">
      <w:pPr>
        <w:spacing w:after="1200"/>
        <w:jc w:val="center"/>
      </w:pPr>
      <w:r>
        <w:rPr>
          <w:b/>
          <w:bCs/>
          <w:color w:val="1F3864"/>
          <w:sz w:val="36"/>
          <w:szCs w:val="36"/>
        </w:rPr>
        <w:t>Technische Spezifikation</w:t>
      </w:r>
    </w:p>
    <w:p w14:paraId="18DE27F6" w14:textId="77777777" w:rsidR="001D7AF9" w:rsidRDefault="002E1144">
      <w:r>
        <w:br w:type="page"/>
      </w:r>
    </w:p>
    <w:p w14:paraId="1DAFCD61" w14:textId="77777777" w:rsidR="001D7AF9" w:rsidRDefault="002E1144">
      <w:pPr>
        <w:pStyle w:val="berschrift1"/>
        <w:pBdr>
          <w:bottom w:val="single" w:sz="6" w:space="4" w:color="2E74B5"/>
        </w:pBdr>
        <w:spacing w:before="480" w:after="240"/>
      </w:pPr>
      <w:r>
        <w:rPr>
          <w:b/>
          <w:bCs/>
          <w:color w:val="1F3864"/>
        </w:rPr>
        <w:lastRenderedPageBreak/>
        <w:t>1. Architekturüberblick</w:t>
      </w:r>
    </w:p>
    <w:p w14:paraId="7C66C0E0" w14:textId="77777777" w:rsidR="001D7AF9" w:rsidRDefault="002E1144">
      <w:pPr>
        <w:pStyle w:val="Listenabsatz"/>
        <w:numPr>
          <w:ilvl w:val="0"/>
          <w:numId w:val="1"/>
        </w:numPr>
        <w:spacing w:after="90" w:line="280" w:lineRule="auto"/>
      </w:pPr>
      <w:r>
        <w:t>Webapplikation (Single-Page-App), erreichbar unter fpt.aicds.ch.</w:t>
      </w:r>
    </w:p>
    <w:p w14:paraId="0D024BE3" w14:textId="77777777" w:rsidR="001D7AF9" w:rsidRDefault="002E1144">
      <w:pPr>
        <w:pStyle w:val="Listenabsatz"/>
        <w:numPr>
          <w:ilvl w:val="0"/>
          <w:numId w:val="1"/>
        </w:numPr>
        <w:spacing w:after="90" w:line="280" w:lineRule="auto"/>
      </w:pPr>
      <w:r>
        <w:t>Reine Eingabe-/Berechnungslogik, keine Anbindung an externe Finanz-APIs oder Banken.</w:t>
      </w:r>
    </w:p>
    <w:p w14:paraId="2C25F658" w14:textId="77777777" w:rsidR="001D7AF9" w:rsidRDefault="002E1144">
      <w:pPr>
        <w:pStyle w:val="Listenabsatz"/>
        <w:numPr>
          <w:ilvl w:val="0"/>
          <w:numId w:val="1"/>
        </w:numPr>
        <w:spacing w:after="90" w:line="280" w:lineRule="auto"/>
      </w:pPr>
      <w:r>
        <w:t>Alle Berechnungen (Zinseszins, Steuerabschätzung, Inflation) können clientseitig oder serverseitig erfolgen; empfohlen wird serverseitig, damit dieselbe Logik für Export/Reporting wiederverwendet werden kann.</w:t>
      </w:r>
    </w:p>
    <w:p w14:paraId="47684E42" w14:textId="77777777" w:rsidR="001D7AF9" w:rsidRDefault="002E1144">
      <w:pPr>
        <w:pStyle w:val="Listenabsatz"/>
        <w:numPr>
          <w:ilvl w:val="0"/>
          <w:numId w:val="1"/>
        </w:numPr>
        <w:spacing w:after="90" w:line="280" w:lineRule="auto"/>
      </w:pPr>
      <w:r>
        <w:t>Persistenz: relationale Datenbank (z. B. PostgreSQL) empfohlen aufgrund der klaren, verschachtelten Struktur (Plan → Phase → Wertschrift/Immobilie).</w:t>
      </w:r>
    </w:p>
    <w:p w14:paraId="078F0DFA" w14:textId="77777777" w:rsidR="001D7AF9" w:rsidRDefault="002E1144">
      <w:pPr>
        <w:pStyle w:val="Listenabsatz"/>
        <w:numPr>
          <w:ilvl w:val="0"/>
          <w:numId w:val="1"/>
        </w:numPr>
        <w:spacing w:after="90" w:line="280" w:lineRule="auto"/>
      </w:pPr>
      <w:r>
        <w:t>Single-User-System pro Account; kein Multi-Tenant-/Sharing-Konzept in Version 1.</w:t>
      </w:r>
    </w:p>
    <w:p w14:paraId="1617D4B0" w14:textId="77777777" w:rsidR="001D7AF9" w:rsidRDefault="002E1144">
      <w:pPr>
        <w:pStyle w:val="berschrift1"/>
        <w:pBdr>
          <w:bottom w:val="single" w:sz="6" w:space="4" w:color="2E74B5"/>
        </w:pBdr>
        <w:spacing w:before="480" w:after="240"/>
      </w:pPr>
      <w:r>
        <w:rPr>
          <w:b/>
          <w:bCs/>
          <w:color w:val="1F3864"/>
        </w:rPr>
        <w:t>2. Datenmodell</w:t>
      </w:r>
    </w:p>
    <w:p w14:paraId="2B472580" w14:textId="77777777" w:rsidR="001D7AF9" w:rsidRDefault="002E1144">
      <w:pPr>
        <w:spacing w:after="160" w:line="300" w:lineRule="auto"/>
      </w:pPr>
      <w:r>
        <w:t>Nachfolgend die zentralen Entitäten (Tabellen) und ihre Beziehungen. Feldtypen sind vereinfacht angegeben (Programmierer wählt konkrete DB-Typen).</w:t>
      </w:r>
    </w:p>
    <w:p w14:paraId="637676DD" w14:textId="77777777" w:rsidR="001D7AF9" w:rsidRDefault="002E1144">
      <w:pPr>
        <w:pStyle w:val="berschrift2"/>
        <w:spacing w:before="360" w:after="160"/>
      </w:pPr>
      <w:r>
        <w:rPr>
          <w:b/>
          <w:bCs/>
          <w:color w:val="1F3864"/>
        </w:rPr>
        <w:t>2.1 Entitäten-Übersicht</w:t>
      </w:r>
    </w:p>
    <w:tbl>
      <w:tblP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5600"/>
        <w:gridCol w:w="3400"/>
      </w:tblGrid>
      <w:tr w:rsidR="001D7AF9" w14:paraId="22839C8D" w14:textId="77777777">
        <w:tblPrEx>
          <w:tblCellMar>
            <w:top w:w="0" w:type="dxa"/>
            <w:bottom w:w="0" w:type="dxa"/>
          </w:tblCellMar>
        </w:tblPrEx>
        <w:trPr>
          <w:tblHeader/>
        </w:trPr>
        <w:tc>
          <w:tcPr>
            <w:tcW w:w="2400" w:type="dxa"/>
            <w:shd w:val="clear" w:color="auto" w:fill="1F3864"/>
            <w:tcMar>
              <w:top w:w="80" w:type="dxa"/>
              <w:left w:w="100" w:type="dxa"/>
              <w:bottom w:w="80" w:type="dxa"/>
              <w:right w:w="100" w:type="dxa"/>
            </w:tcMar>
            <w:vAlign w:val="center"/>
          </w:tcPr>
          <w:p w14:paraId="52BAF48B" w14:textId="77777777" w:rsidR="001D7AF9" w:rsidRDefault="002E1144">
            <w:r>
              <w:rPr>
                <w:b/>
                <w:bCs/>
                <w:color w:val="FFFFFF"/>
                <w:sz w:val="19"/>
                <w:szCs w:val="19"/>
              </w:rPr>
              <w:t>Entität</w:t>
            </w:r>
          </w:p>
        </w:tc>
        <w:tc>
          <w:tcPr>
            <w:tcW w:w="5600" w:type="dxa"/>
            <w:shd w:val="clear" w:color="auto" w:fill="1F3864"/>
            <w:tcMar>
              <w:top w:w="80" w:type="dxa"/>
              <w:left w:w="100" w:type="dxa"/>
              <w:bottom w:w="80" w:type="dxa"/>
              <w:right w:w="100" w:type="dxa"/>
            </w:tcMar>
            <w:vAlign w:val="center"/>
          </w:tcPr>
          <w:p w14:paraId="694466CA" w14:textId="77777777" w:rsidR="001D7AF9" w:rsidRDefault="002E1144">
            <w:r>
              <w:rPr>
                <w:b/>
                <w:bCs/>
                <w:color w:val="FFFFFF"/>
                <w:sz w:val="19"/>
                <w:szCs w:val="19"/>
              </w:rPr>
              <w:t>Beschreibung</w:t>
            </w:r>
          </w:p>
        </w:tc>
        <w:tc>
          <w:tcPr>
            <w:tcW w:w="3400" w:type="dxa"/>
            <w:shd w:val="clear" w:color="auto" w:fill="1F3864"/>
            <w:tcMar>
              <w:top w:w="80" w:type="dxa"/>
              <w:left w:w="100" w:type="dxa"/>
              <w:bottom w:w="80" w:type="dxa"/>
              <w:right w:w="100" w:type="dxa"/>
            </w:tcMar>
            <w:vAlign w:val="center"/>
          </w:tcPr>
          <w:p w14:paraId="00283B9D" w14:textId="77777777" w:rsidR="001D7AF9" w:rsidRDefault="002E1144">
            <w:r>
              <w:rPr>
                <w:b/>
                <w:bCs/>
                <w:color w:val="FFFFFF"/>
                <w:sz w:val="19"/>
                <w:szCs w:val="19"/>
              </w:rPr>
              <w:t>Beziehung</w:t>
            </w:r>
          </w:p>
        </w:tc>
      </w:tr>
      <w:tr w:rsidR="001D7AF9" w14:paraId="3B0347D2" w14:textId="77777777">
        <w:tblPrEx>
          <w:tblCellMar>
            <w:top w:w="0" w:type="dxa"/>
            <w:bottom w:w="0" w:type="dxa"/>
          </w:tblCellMar>
        </w:tblPrEx>
        <w:tc>
          <w:tcPr>
            <w:tcW w:w="2400" w:type="dxa"/>
            <w:tcMar>
              <w:top w:w="80" w:type="dxa"/>
              <w:left w:w="100" w:type="dxa"/>
              <w:bottom w:w="80" w:type="dxa"/>
              <w:right w:w="100" w:type="dxa"/>
            </w:tcMar>
            <w:vAlign w:val="center"/>
          </w:tcPr>
          <w:p w14:paraId="2E198EA3" w14:textId="77777777" w:rsidR="001D7AF9" w:rsidRDefault="002E1144">
            <w:r>
              <w:rPr>
                <w:color w:val="000000"/>
                <w:sz w:val="19"/>
                <w:szCs w:val="19"/>
              </w:rPr>
              <w:t>Household</w:t>
            </w:r>
          </w:p>
        </w:tc>
        <w:tc>
          <w:tcPr>
            <w:tcW w:w="5600" w:type="dxa"/>
            <w:tcMar>
              <w:top w:w="80" w:type="dxa"/>
              <w:left w:w="100" w:type="dxa"/>
              <w:bottom w:w="80" w:type="dxa"/>
              <w:right w:w="100" w:type="dxa"/>
            </w:tcMar>
            <w:vAlign w:val="center"/>
          </w:tcPr>
          <w:p w14:paraId="2581DB08" w14:textId="77777777" w:rsidR="001D7AF9" w:rsidRDefault="002E1144">
            <w:r>
              <w:rPr>
                <w:color w:val="000000"/>
                <w:sz w:val="19"/>
                <w:szCs w:val="19"/>
              </w:rPr>
              <w:t>Ein Haushalt (1 oder 2 Personen) – Wurzel-Objekt</w:t>
            </w:r>
          </w:p>
        </w:tc>
        <w:tc>
          <w:tcPr>
            <w:tcW w:w="3400" w:type="dxa"/>
            <w:tcMar>
              <w:top w:w="80" w:type="dxa"/>
              <w:left w:w="100" w:type="dxa"/>
              <w:bottom w:w="80" w:type="dxa"/>
              <w:right w:w="100" w:type="dxa"/>
            </w:tcMar>
            <w:vAlign w:val="center"/>
          </w:tcPr>
          <w:p w14:paraId="01BC9741" w14:textId="77777777" w:rsidR="001D7AF9" w:rsidRDefault="002E1144">
            <w:r>
              <w:rPr>
                <w:color w:val="000000"/>
                <w:sz w:val="19"/>
                <w:szCs w:val="19"/>
              </w:rPr>
              <w:t>1 : n Plan</w:t>
            </w:r>
          </w:p>
        </w:tc>
      </w:tr>
      <w:tr w:rsidR="001D7AF9" w14:paraId="1CA3B6E1"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07E70768" w14:textId="77777777" w:rsidR="001D7AF9" w:rsidRDefault="002E1144">
            <w:r>
              <w:rPr>
                <w:color w:val="000000"/>
                <w:sz w:val="19"/>
                <w:szCs w:val="19"/>
              </w:rPr>
              <w:t>Person</w:t>
            </w:r>
          </w:p>
        </w:tc>
        <w:tc>
          <w:tcPr>
            <w:tcW w:w="5600" w:type="dxa"/>
            <w:shd w:val="clear" w:color="auto" w:fill="F2F2F2"/>
            <w:tcMar>
              <w:top w:w="80" w:type="dxa"/>
              <w:left w:w="100" w:type="dxa"/>
              <w:bottom w:w="80" w:type="dxa"/>
              <w:right w:w="100" w:type="dxa"/>
            </w:tcMar>
            <w:vAlign w:val="center"/>
          </w:tcPr>
          <w:p w14:paraId="4513C92B" w14:textId="77777777" w:rsidR="001D7AF9" w:rsidRDefault="002E1144">
            <w:r>
              <w:rPr>
                <w:color w:val="000000"/>
                <w:sz w:val="19"/>
                <w:szCs w:val="19"/>
              </w:rPr>
              <w:t>Einzelperson im Haushalt (Alter, geplantes Pensionsalter)</w:t>
            </w:r>
          </w:p>
        </w:tc>
        <w:tc>
          <w:tcPr>
            <w:tcW w:w="3400" w:type="dxa"/>
            <w:shd w:val="clear" w:color="auto" w:fill="F2F2F2"/>
            <w:tcMar>
              <w:top w:w="80" w:type="dxa"/>
              <w:left w:w="100" w:type="dxa"/>
              <w:bottom w:w="80" w:type="dxa"/>
              <w:right w:w="100" w:type="dxa"/>
            </w:tcMar>
            <w:vAlign w:val="center"/>
          </w:tcPr>
          <w:p w14:paraId="23194CCA" w14:textId="77777777" w:rsidR="001D7AF9" w:rsidRDefault="002E1144">
            <w:r>
              <w:rPr>
                <w:color w:val="000000"/>
                <w:sz w:val="19"/>
                <w:szCs w:val="19"/>
              </w:rPr>
              <w:t>n : 1 Household</w:t>
            </w:r>
          </w:p>
        </w:tc>
      </w:tr>
      <w:tr w:rsidR="001D7AF9" w14:paraId="3D834BD5" w14:textId="77777777">
        <w:tblPrEx>
          <w:tblCellMar>
            <w:top w:w="0" w:type="dxa"/>
            <w:bottom w:w="0" w:type="dxa"/>
          </w:tblCellMar>
        </w:tblPrEx>
        <w:tc>
          <w:tcPr>
            <w:tcW w:w="2400" w:type="dxa"/>
            <w:tcMar>
              <w:top w:w="80" w:type="dxa"/>
              <w:left w:w="100" w:type="dxa"/>
              <w:bottom w:w="80" w:type="dxa"/>
              <w:right w:w="100" w:type="dxa"/>
            </w:tcMar>
            <w:vAlign w:val="center"/>
          </w:tcPr>
          <w:p w14:paraId="4FAB92E1" w14:textId="77777777" w:rsidR="001D7AF9" w:rsidRDefault="002E1144">
            <w:r>
              <w:rPr>
                <w:color w:val="000000"/>
                <w:sz w:val="19"/>
                <w:szCs w:val="19"/>
              </w:rPr>
              <w:t>Plan</w:t>
            </w:r>
          </w:p>
        </w:tc>
        <w:tc>
          <w:tcPr>
            <w:tcW w:w="5600" w:type="dxa"/>
            <w:tcMar>
              <w:top w:w="80" w:type="dxa"/>
              <w:left w:w="100" w:type="dxa"/>
              <w:bottom w:w="80" w:type="dxa"/>
              <w:right w:w="100" w:type="dxa"/>
            </w:tcMar>
            <w:vAlign w:val="center"/>
          </w:tcPr>
          <w:p w14:paraId="042EA3F9" w14:textId="77777777" w:rsidR="001D7AF9" w:rsidRDefault="002E1144">
            <w:r>
              <w:rPr>
                <w:color w:val="000000"/>
                <w:sz w:val="19"/>
                <w:szCs w:val="19"/>
              </w:rPr>
              <w:t>Eine vollständige Phasenkette; kann Szenario eines anderen Plans sein</w:t>
            </w:r>
          </w:p>
        </w:tc>
        <w:tc>
          <w:tcPr>
            <w:tcW w:w="3400" w:type="dxa"/>
            <w:tcMar>
              <w:top w:w="80" w:type="dxa"/>
              <w:left w:w="100" w:type="dxa"/>
              <w:bottom w:w="80" w:type="dxa"/>
              <w:right w:w="100" w:type="dxa"/>
            </w:tcMar>
            <w:vAlign w:val="center"/>
          </w:tcPr>
          <w:p w14:paraId="0C553FF5" w14:textId="77777777" w:rsidR="001D7AF9" w:rsidRDefault="002E1144">
            <w:r>
              <w:rPr>
                <w:color w:val="000000"/>
                <w:sz w:val="19"/>
                <w:szCs w:val="19"/>
              </w:rPr>
              <w:t>1 : n Phase; optional 1 : 1 Parent-Plan</w:t>
            </w:r>
          </w:p>
        </w:tc>
      </w:tr>
      <w:tr w:rsidR="001D7AF9" w:rsidRPr="00A25E13" w14:paraId="0FC36ADF"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7100FC33" w14:textId="77777777" w:rsidR="001D7AF9" w:rsidRDefault="002E1144">
            <w:r>
              <w:rPr>
                <w:color w:val="000000"/>
                <w:sz w:val="19"/>
                <w:szCs w:val="19"/>
              </w:rPr>
              <w:t>Phase</w:t>
            </w:r>
          </w:p>
        </w:tc>
        <w:tc>
          <w:tcPr>
            <w:tcW w:w="5600" w:type="dxa"/>
            <w:shd w:val="clear" w:color="auto" w:fill="F2F2F2"/>
            <w:tcMar>
              <w:top w:w="80" w:type="dxa"/>
              <w:left w:w="100" w:type="dxa"/>
              <w:bottom w:w="80" w:type="dxa"/>
              <w:right w:w="100" w:type="dxa"/>
            </w:tcMar>
            <w:vAlign w:val="center"/>
          </w:tcPr>
          <w:p w14:paraId="4DD817DA" w14:textId="77777777" w:rsidR="001D7AF9" w:rsidRDefault="002E1144">
            <w:r>
              <w:rPr>
                <w:color w:val="000000"/>
                <w:sz w:val="19"/>
                <w:szCs w:val="19"/>
              </w:rPr>
              <w:t>Ein Lebensabschnitt innerhalb eines Plans</w:t>
            </w:r>
          </w:p>
        </w:tc>
        <w:tc>
          <w:tcPr>
            <w:tcW w:w="3400" w:type="dxa"/>
            <w:shd w:val="clear" w:color="auto" w:fill="F2F2F2"/>
            <w:tcMar>
              <w:top w:w="80" w:type="dxa"/>
              <w:left w:w="100" w:type="dxa"/>
              <w:bottom w:w="80" w:type="dxa"/>
              <w:right w:w="100" w:type="dxa"/>
            </w:tcMar>
            <w:vAlign w:val="center"/>
          </w:tcPr>
          <w:p w14:paraId="7617F29D" w14:textId="77777777" w:rsidR="001D7AF9" w:rsidRPr="00A25E13" w:rsidRDefault="002E1144">
            <w:pPr>
              <w:rPr>
                <w:lang w:val="en-AU"/>
              </w:rPr>
            </w:pPr>
            <w:r w:rsidRPr="00A25E13">
              <w:rPr>
                <w:color w:val="000000"/>
                <w:sz w:val="19"/>
                <w:szCs w:val="19"/>
                <w:lang w:val="en-AU"/>
              </w:rPr>
              <w:t>1 : n Income, Expense, Security, RealEstate, OneTimeEvent</w:t>
            </w:r>
          </w:p>
        </w:tc>
      </w:tr>
      <w:tr w:rsidR="001D7AF9" w14:paraId="72C46A89" w14:textId="77777777">
        <w:tblPrEx>
          <w:tblCellMar>
            <w:top w:w="0" w:type="dxa"/>
            <w:bottom w:w="0" w:type="dxa"/>
          </w:tblCellMar>
        </w:tblPrEx>
        <w:tc>
          <w:tcPr>
            <w:tcW w:w="2400" w:type="dxa"/>
            <w:tcMar>
              <w:top w:w="80" w:type="dxa"/>
              <w:left w:w="100" w:type="dxa"/>
              <w:bottom w:w="80" w:type="dxa"/>
              <w:right w:w="100" w:type="dxa"/>
            </w:tcMar>
            <w:vAlign w:val="center"/>
          </w:tcPr>
          <w:p w14:paraId="56E7ADF9" w14:textId="77777777" w:rsidR="001D7AF9" w:rsidRDefault="002E1144">
            <w:r>
              <w:rPr>
                <w:color w:val="000000"/>
                <w:sz w:val="19"/>
                <w:szCs w:val="19"/>
              </w:rPr>
              <w:t>IncomeEntry</w:t>
            </w:r>
          </w:p>
        </w:tc>
        <w:tc>
          <w:tcPr>
            <w:tcW w:w="5600" w:type="dxa"/>
            <w:tcMar>
              <w:top w:w="80" w:type="dxa"/>
              <w:left w:w="100" w:type="dxa"/>
              <w:bottom w:w="80" w:type="dxa"/>
              <w:right w:w="100" w:type="dxa"/>
            </w:tcMar>
            <w:vAlign w:val="center"/>
          </w:tcPr>
          <w:p w14:paraId="110A15CE" w14:textId="77777777" w:rsidR="001D7AF9" w:rsidRDefault="002E1144">
            <w:r>
              <w:rPr>
                <w:color w:val="000000"/>
                <w:sz w:val="19"/>
                <w:szCs w:val="19"/>
              </w:rPr>
              <w:t>Einkommensposten einer Phase (pro Person oder gemeinsam)</w:t>
            </w:r>
          </w:p>
        </w:tc>
        <w:tc>
          <w:tcPr>
            <w:tcW w:w="3400" w:type="dxa"/>
            <w:tcMar>
              <w:top w:w="80" w:type="dxa"/>
              <w:left w:w="100" w:type="dxa"/>
              <w:bottom w:w="80" w:type="dxa"/>
              <w:right w:w="100" w:type="dxa"/>
            </w:tcMar>
            <w:vAlign w:val="center"/>
          </w:tcPr>
          <w:p w14:paraId="4AF34C56" w14:textId="77777777" w:rsidR="001D7AF9" w:rsidRDefault="002E1144">
            <w:r>
              <w:rPr>
                <w:color w:val="000000"/>
                <w:sz w:val="19"/>
                <w:szCs w:val="19"/>
              </w:rPr>
              <w:t>n : 1 Phase, optional n : 1 Person</w:t>
            </w:r>
          </w:p>
        </w:tc>
      </w:tr>
      <w:tr w:rsidR="001D7AF9" w14:paraId="6E45CA94"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74380E2A" w14:textId="77777777" w:rsidR="001D7AF9" w:rsidRDefault="002E1144">
            <w:r>
              <w:rPr>
                <w:color w:val="000000"/>
                <w:sz w:val="19"/>
                <w:szCs w:val="19"/>
              </w:rPr>
              <w:t>ExpenseEntry</w:t>
            </w:r>
          </w:p>
        </w:tc>
        <w:tc>
          <w:tcPr>
            <w:tcW w:w="5600" w:type="dxa"/>
            <w:shd w:val="clear" w:color="auto" w:fill="F2F2F2"/>
            <w:tcMar>
              <w:top w:w="80" w:type="dxa"/>
              <w:left w:w="100" w:type="dxa"/>
              <w:bottom w:w="80" w:type="dxa"/>
              <w:right w:w="100" w:type="dxa"/>
            </w:tcMar>
            <w:vAlign w:val="center"/>
          </w:tcPr>
          <w:p w14:paraId="25845FF7" w14:textId="77777777" w:rsidR="001D7AF9" w:rsidRDefault="002E1144">
            <w:r>
              <w:rPr>
                <w:color w:val="000000"/>
                <w:sz w:val="19"/>
                <w:szCs w:val="19"/>
              </w:rPr>
              <w:t>Ausgabenposten einer Phase (immer Haushaltsebene)</w:t>
            </w:r>
          </w:p>
        </w:tc>
        <w:tc>
          <w:tcPr>
            <w:tcW w:w="3400" w:type="dxa"/>
            <w:shd w:val="clear" w:color="auto" w:fill="F2F2F2"/>
            <w:tcMar>
              <w:top w:w="80" w:type="dxa"/>
              <w:left w:w="100" w:type="dxa"/>
              <w:bottom w:w="80" w:type="dxa"/>
              <w:right w:w="100" w:type="dxa"/>
            </w:tcMar>
            <w:vAlign w:val="center"/>
          </w:tcPr>
          <w:p w14:paraId="62624033" w14:textId="77777777" w:rsidR="001D7AF9" w:rsidRDefault="002E1144">
            <w:r>
              <w:rPr>
                <w:color w:val="000000"/>
                <w:sz w:val="19"/>
                <w:szCs w:val="19"/>
              </w:rPr>
              <w:t>n : 1 Phase</w:t>
            </w:r>
          </w:p>
        </w:tc>
      </w:tr>
      <w:tr w:rsidR="001D7AF9" w14:paraId="284C167B" w14:textId="77777777">
        <w:tblPrEx>
          <w:tblCellMar>
            <w:top w:w="0" w:type="dxa"/>
            <w:bottom w:w="0" w:type="dxa"/>
          </w:tblCellMar>
        </w:tblPrEx>
        <w:tc>
          <w:tcPr>
            <w:tcW w:w="2400" w:type="dxa"/>
            <w:tcMar>
              <w:top w:w="80" w:type="dxa"/>
              <w:left w:w="100" w:type="dxa"/>
              <w:bottom w:w="80" w:type="dxa"/>
              <w:right w:w="100" w:type="dxa"/>
            </w:tcMar>
            <w:vAlign w:val="center"/>
          </w:tcPr>
          <w:p w14:paraId="067978BE" w14:textId="77777777" w:rsidR="001D7AF9" w:rsidRDefault="002E1144">
            <w:r>
              <w:rPr>
                <w:color w:val="000000"/>
                <w:sz w:val="19"/>
                <w:szCs w:val="19"/>
              </w:rPr>
              <w:t>Security</w:t>
            </w:r>
          </w:p>
        </w:tc>
        <w:tc>
          <w:tcPr>
            <w:tcW w:w="5600" w:type="dxa"/>
            <w:tcMar>
              <w:top w:w="80" w:type="dxa"/>
              <w:left w:w="100" w:type="dxa"/>
              <w:bottom w:w="80" w:type="dxa"/>
              <w:right w:w="100" w:type="dxa"/>
            </w:tcMar>
            <w:vAlign w:val="center"/>
          </w:tcPr>
          <w:p w14:paraId="7D19D6EE" w14:textId="77777777" w:rsidR="001D7AF9" w:rsidRDefault="002E1144">
            <w:r>
              <w:rPr>
                <w:color w:val="000000"/>
                <w:sz w:val="19"/>
                <w:szCs w:val="19"/>
              </w:rPr>
              <w:t>Eine Wertschrift innerhalb einer Phase</w:t>
            </w:r>
          </w:p>
        </w:tc>
        <w:tc>
          <w:tcPr>
            <w:tcW w:w="3400" w:type="dxa"/>
            <w:tcMar>
              <w:top w:w="80" w:type="dxa"/>
              <w:left w:w="100" w:type="dxa"/>
              <w:bottom w:w="80" w:type="dxa"/>
              <w:right w:w="100" w:type="dxa"/>
            </w:tcMar>
            <w:vAlign w:val="center"/>
          </w:tcPr>
          <w:p w14:paraId="6357545B" w14:textId="77777777" w:rsidR="001D7AF9" w:rsidRDefault="002E1144">
            <w:r>
              <w:rPr>
                <w:color w:val="000000"/>
                <w:sz w:val="19"/>
                <w:szCs w:val="19"/>
              </w:rPr>
              <w:t>n : 1 Phase, optional n : 1 Person (Tag)</w:t>
            </w:r>
          </w:p>
        </w:tc>
      </w:tr>
      <w:tr w:rsidR="001D7AF9" w14:paraId="2F6FDEBE"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0A0723FC" w14:textId="77777777" w:rsidR="001D7AF9" w:rsidRDefault="002E1144">
            <w:r>
              <w:rPr>
                <w:color w:val="000000"/>
                <w:sz w:val="19"/>
                <w:szCs w:val="19"/>
              </w:rPr>
              <w:t>SavingsAllocation</w:t>
            </w:r>
          </w:p>
        </w:tc>
        <w:tc>
          <w:tcPr>
            <w:tcW w:w="5600" w:type="dxa"/>
            <w:shd w:val="clear" w:color="auto" w:fill="F2F2F2"/>
            <w:tcMar>
              <w:top w:w="80" w:type="dxa"/>
              <w:left w:w="100" w:type="dxa"/>
              <w:bottom w:w="80" w:type="dxa"/>
              <w:right w:w="100" w:type="dxa"/>
            </w:tcMar>
            <w:vAlign w:val="center"/>
          </w:tcPr>
          <w:p w14:paraId="4EFC2FF8" w14:textId="77777777" w:rsidR="001D7AF9" w:rsidRDefault="002E1144">
            <w:r>
              <w:rPr>
                <w:color w:val="000000"/>
                <w:sz w:val="19"/>
                <w:szCs w:val="19"/>
              </w:rPr>
              <w:t>Zuweisung eines Teils der Sparquote an eine Security</w:t>
            </w:r>
          </w:p>
        </w:tc>
        <w:tc>
          <w:tcPr>
            <w:tcW w:w="3400" w:type="dxa"/>
            <w:shd w:val="clear" w:color="auto" w:fill="F2F2F2"/>
            <w:tcMar>
              <w:top w:w="80" w:type="dxa"/>
              <w:left w:w="100" w:type="dxa"/>
              <w:bottom w:w="80" w:type="dxa"/>
              <w:right w:w="100" w:type="dxa"/>
            </w:tcMar>
            <w:vAlign w:val="center"/>
          </w:tcPr>
          <w:p w14:paraId="3BC92A7D" w14:textId="77777777" w:rsidR="001D7AF9" w:rsidRDefault="002E1144">
            <w:r>
              <w:rPr>
                <w:color w:val="000000"/>
                <w:sz w:val="19"/>
                <w:szCs w:val="19"/>
              </w:rPr>
              <w:t>n : 1 Phase, n : 1 Security</w:t>
            </w:r>
          </w:p>
        </w:tc>
      </w:tr>
      <w:tr w:rsidR="001D7AF9" w14:paraId="7914CAB7" w14:textId="77777777">
        <w:tblPrEx>
          <w:tblCellMar>
            <w:top w:w="0" w:type="dxa"/>
            <w:bottom w:w="0" w:type="dxa"/>
          </w:tblCellMar>
        </w:tblPrEx>
        <w:tc>
          <w:tcPr>
            <w:tcW w:w="2400" w:type="dxa"/>
            <w:tcMar>
              <w:top w:w="80" w:type="dxa"/>
              <w:left w:w="100" w:type="dxa"/>
              <w:bottom w:w="80" w:type="dxa"/>
              <w:right w:w="100" w:type="dxa"/>
            </w:tcMar>
            <w:vAlign w:val="center"/>
          </w:tcPr>
          <w:p w14:paraId="71C0F6FD" w14:textId="77777777" w:rsidR="001D7AF9" w:rsidRDefault="002E1144">
            <w:r>
              <w:rPr>
                <w:color w:val="000000"/>
                <w:sz w:val="19"/>
                <w:szCs w:val="19"/>
              </w:rPr>
              <w:t>RealEstate</w:t>
            </w:r>
          </w:p>
        </w:tc>
        <w:tc>
          <w:tcPr>
            <w:tcW w:w="5600" w:type="dxa"/>
            <w:tcMar>
              <w:top w:w="80" w:type="dxa"/>
              <w:left w:w="100" w:type="dxa"/>
              <w:bottom w:w="80" w:type="dxa"/>
              <w:right w:w="100" w:type="dxa"/>
            </w:tcMar>
            <w:vAlign w:val="center"/>
          </w:tcPr>
          <w:p w14:paraId="12D02B31" w14:textId="77777777" w:rsidR="001D7AF9" w:rsidRDefault="002E1144">
            <w:r>
              <w:rPr>
                <w:color w:val="000000"/>
                <w:sz w:val="19"/>
                <w:szCs w:val="19"/>
              </w:rPr>
              <w:t>Eine Immobilie innerhalb einer Phase</w:t>
            </w:r>
          </w:p>
        </w:tc>
        <w:tc>
          <w:tcPr>
            <w:tcW w:w="3400" w:type="dxa"/>
            <w:tcMar>
              <w:top w:w="80" w:type="dxa"/>
              <w:left w:w="100" w:type="dxa"/>
              <w:bottom w:w="80" w:type="dxa"/>
              <w:right w:w="100" w:type="dxa"/>
            </w:tcMar>
            <w:vAlign w:val="center"/>
          </w:tcPr>
          <w:p w14:paraId="5715C433" w14:textId="77777777" w:rsidR="001D7AF9" w:rsidRDefault="002E1144">
            <w:r>
              <w:rPr>
                <w:color w:val="000000"/>
                <w:sz w:val="19"/>
                <w:szCs w:val="19"/>
              </w:rPr>
              <w:t>n : 1 Phase</w:t>
            </w:r>
          </w:p>
        </w:tc>
      </w:tr>
      <w:tr w:rsidR="001D7AF9" w14:paraId="71359440"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2DB1C7CA" w14:textId="77777777" w:rsidR="001D7AF9" w:rsidRDefault="002E1144">
            <w:r>
              <w:rPr>
                <w:color w:val="000000"/>
                <w:sz w:val="19"/>
                <w:szCs w:val="19"/>
              </w:rPr>
              <w:t>OneTimeEvent</w:t>
            </w:r>
          </w:p>
        </w:tc>
        <w:tc>
          <w:tcPr>
            <w:tcW w:w="5600" w:type="dxa"/>
            <w:shd w:val="clear" w:color="auto" w:fill="F2F2F2"/>
            <w:tcMar>
              <w:top w:w="80" w:type="dxa"/>
              <w:left w:w="100" w:type="dxa"/>
              <w:bottom w:w="80" w:type="dxa"/>
              <w:right w:w="100" w:type="dxa"/>
            </w:tcMar>
            <w:vAlign w:val="center"/>
          </w:tcPr>
          <w:p w14:paraId="184A6D39" w14:textId="77777777" w:rsidR="001D7AF9" w:rsidRDefault="002E1144">
            <w:r>
              <w:rPr>
                <w:color w:val="000000"/>
                <w:sz w:val="19"/>
                <w:szCs w:val="19"/>
              </w:rPr>
              <w:t>Einmalige Sondereinnahme/-ausgabe</w:t>
            </w:r>
          </w:p>
        </w:tc>
        <w:tc>
          <w:tcPr>
            <w:tcW w:w="3400" w:type="dxa"/>
            <w:shd w:val="clear" w:color="auto" w:fill="F2F2F2"/>
            <w:tcMar>
              <w:top w:w="80" w:type="dxa"/>
              <w:left w:w="100" w:type="dxa"/>
              <w:bottom w:w="80" w:type="dxa"/>
              <w:right w:w="100" w:type="dxa"/>
            </w:tcMar>
            <w:vAlign w:val="center"/>
          </w:tcPr>
          <w:p w14:paraId="7A4CD934" w14:textId="77777777" w:rsidR="001D7AF9" w:rsidRDefault="002E1144">
            <w:r>
              <w:rPr>
                <w:color w:val="000000"/>
                <w:sz w:val="19"/>
                <w:szCs w:val="19"/>
              </w:rPr>
              <w:t>n : 1 Phase</w:t>
            </w:r>
          </w:p>
        </w:tc>
      </w:tr>
      <w:tr w:rsidR="001D7AF9" w14:paraId="49D37815" w14:textId="77777777">
        <w:tblPrEx>
          <w:tblCellMar>
            <w:top w:w="0" w:type="dxa"/>
            <w:bottom w:w="0" w:type="dxa"/>
          </w:tblCellMar>
        </w:tblPrEx>
        <w:tc>
          <w:tcPr>
            <w:tcW w:w="2400" w:type="dxa"/>
            <w:tcMar>
              <w:top w:w="80" w:type="dxa"/>
              <w:left w:w="100" w:type="dxa"/>
              <w:bottom w:w="80" w:type="dxa"/>
              <w:right w:w="100" w:type="dxa"/>
            </w:tcMar>
            <w:vAlign w:val="center"/>
          </w:tcPr>
          <w:p w14:paraId="2F855EE6" w14:textId="77777777" w:rsidR="001D7AF9" w:rsidRDefault="002E1144">
            <w:r>
              <w:rPr>
                <w:color w:val="000000"/>
                <w:sz w:val="19"/>
                <w:szCs w:val="19"/>
              </w:rPr>
              <w:t>RetirementInfo</w:t>
            </w:r>
          </w:p>
        </w:tc>
        <w:tc>
          <w:tcPr>
            <w:tcW w:w="5600" w:type="dxa"/>
            <w:tcMar>
              <w:top w:w="80" w:type="dxa"/>
              <w:left w:w="100" w:type="dxa"/>
              <w:bottom w:w="80" w:type="dxa"/>
              <w:right w:w="100" w:type="dxa"/>
            </w:tcMar>
            <w:vAlign w:val="center"/>
          </w:tcPr>
          <w:p w14:paraId="2A967CF1" w14:textId="77777777" w:rsidR="001D7AF9" w:rsidRDefault="002E1144">
            <w:r>
              <w:rPr>
                <w:color w:val="000000"/>
                <w:sz w:val="19"/>
                <w:szCs w:val="19"/>
              </w:rPr>
              <w:t>Renten-/Kapitalbezugsangaben (nur in Pensionierungsphasen)</w:t>
            </w:r>
          </w:p>
        </w:tc>
        <w:tc>
          <w:tcPr>
            <w:tcW w:w="3400" w:type="dxa"/>
            <w:tcMar>
              <w:top w:w="80" w:type="dxa"/>
              <w:left w:w="100" w:type="dxa"/>
              <w:bottom w:w="80" w:type="dxa"/>
              <w:right w:w="100" w:type="dxa"/>
            </w:tcMar>
            <w:vAlign w:val="center"/>
          </w:tcPr>
          <w:p w14:paraId="6A43E5CA" w14:textId="77777777" w:rsidR="001D7AF9" w:rsidRDefault="002E1144">
            <w:r>
              <w:rPr>
                <w:color w:val="000000"/>
                <w:sz w:val="19"/>
                <w:szCs w:val="19"/>
              </w:rPr>
              <w:t>1 : 1 Phase, n : 1 Person</w:t>
            </w:r>
          </w:p>
        </w:tc>
      </w:tr>
      <w:tr w:rsidR="001D7AF9" w14:paraId="2CFF4C8A"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50B2A794" w14:textId="77777777" w:rsidR="001D7AF9" w:rsidRDefault="002E1144">
            <w:r>
              <w:rPr>
                <w:color w:val="000000"/>
                <w:sz w:val="19"/>
                <w:szCs w:val="19"/>
              </w:rPr>
              <w:t>PhaseTransition</w:t>
            </w:r>
          </w:p>
        </w:tc>
        <w:tc>
          <w:tcPr>
            <w:tcW w:w="5600" w:type="dxa"/>
            <w:shd w:val="clear" w:color="auto" w:fill="F2F2F2"/>
            <w:tcMar>
              <w:top w:w="80" w:type="dxa"/>
              <w:left w:w="100" w:type="dxa"/>
              <w:bottom w:w="80" w:type="dxa"/>
              <w:right w:w="100" w:type="dxa"/>
            </w:tcMar>
            <w:vAlign w:val="center"/>
          </w:tcPr>
          <w:p w14:paraId="70D3AC75" w14:textId="77777777" w:rsidR="001D7AF9" w:rsidRDefault="002E1144">
            <w:r>
              <w:rPr>
                <w:color w:val="000000"/>
                <w:sz w:val="19"/>
                <w:szCs w:val="19"/>
              </w:rPr>
              <w:t>Entscheidungen beim Übergang zweier Phasen (übernehmen/verkaufen je Position)</w:t>
            </w:r>
          </w:p>
        </w:tc>
        <w:tc>
          <w:tcPr>
            <w:tcW w:w="3400" w:type="dxa"/>
            <w:shd w:val="clear" w:color="auto" w:fill="F2F2F2"/>
            <w:tcMar>
              <w:top w:w="80" w:type="dxa"/>
              <w:left w:w="100" w:type="dxa"/>
              <w:bottom w:w="80" w:type="dxa"/>
              <w:right w:w="100" w:type="dxa"/>
            </w:tcMar>
            <w:vAlign w:val="center"/>
          </w:tcPr>
          <w:p w14:paraId="038C0097" w14:textId="77777777" w:rsidR="001D7AF9" w:rsidRDefault="002E1144">
            <w:r>
              <w:rPr>
                <w:color w:val="000000"/>
                <w:sz w:val="19"/>
                <w:szCs w:val="19"/>
              </w:rPr>
              <w:t>n : 1 Phase (Quelle), n : 1 Phase (Ziel)</w:t>
            </w:r>
          </w:p>
        </w:tc>
      </w:tr>
      <w:tr w:rsidR="001D7AF9" w:rsidRPr="00A25E13" w14:paraId="137EDCB8" w14:textId="77777777">
        <w:tblPrEx>
          <w:tblCellMar>
            <w:top w:w="0" w:type="dxa"/>
            <w:bottom w:w="0" w:type="dxa"/>
          </w:tblCellMar>
        </w:tblPrEx>
        <w:tc>
          <w:tcPr>
            <w:tcW w:w="2400" w:type="dxa"/>
            <w:tcMar>
              <w:top w:w="80" w:type="dxa"/>
              <w:left w:w="100" w:type="dxa"/>
              <w:bottom w:w="80" w:type="dxa"/>
              <w:right w:w="100" w:type="dxa"/>
            </w:tcMar>
            <w:vAlign w:val="center"/>
          </w:tcPr>
          <w:p w14:paraId="59282000" w14:textId="77777777" w:rsidR="001D7AF9" w:rsidRDefault="002E1144">
            <w:r>
              <w:rPr>
                <w:color w:val="000000"/>
                <w:sz w:val="19"/>
                <w:szCs w:val="19"/>
              </w:rPr>
              <w:t>TaxAssumption</w:t>
            </w:r>
          </w:p>
        </w:tc>
        <w:tc>
          <w:tcPr>
            <w:tcW w:w="5600" w:type="dxa"/>
            <w:tcMar>
              <w:top w:w="80" w:type="dxa"/>
              <w:left w:w="100" w:type="dxa"/>
              <w:bottom w:w="80" w:type="dxa"/>
              <w:right w:w="100" w:type="dxa"/>
            </w:tcMar>
            <w:vAlign w:val="center"/>
          </w:tcPr>
          <w:p w14:paraId="73607FFB" w14:textId="77777777" w:rsidR="001D7AF9" w:rsidRDefault="002E1144">
            <w:r>
              <w:rPr>
                <w:color w:val="000000"/>
                <w:sz w:val="19"/>
                <w:szCs w:val="19"/>
              </w:rPr>
              <w:t>Editierbarer Steuersatz pro Ereignis (Immobilienverkauf, Kapitalbezug, Wertschriftenverkauf)</w:t>
            </w:r>
          </w:p>
        </w:tc>
        <w:tc>
          <w:tcPr>
            <w:tcW w:w="3400" w:type="dxa"/>
            <w:tcMar>
              <w:top w:w="80" w:type="dxa"/>
              <w:left w:w="100" w:type="dxa"/>
              <w:bottom w:w="80" w:type="dxa"/>
              <w:right w:w="100" w:type="dxa"/>
            </w:tcMar>
            <w:vAlign w:val="center"/>
          </w:tcPr>
          <w:p w14:paraId="581AB42C" w14:textId="77777777" w:rsidR="001D7AF9" w:rsidRPr="00A25E13" w:rsidRDefault="002E1144">
            <w:pPr>
              <w:rPr>
                <w:lang w:val="en-AU"/>
              </w:rPr>
            </w:pPr>
            <w:r w:rsidRPr="00A25E13">
              <w:rPr>
                <w:color w:val="000000"/>
                <w:sz w:val="19"/>
                <w:szCs w:val="19"/>
                <w:lang w:val="en-AU"/>
              </w:rPr>
              <w:t>n : 1 auslösendes Ereignis (RealEstate-Sale, RetirementInfo, Security-Sale)</w:t>
            </w:r>
          </w:p>
        </w:tc>
      </w:tr>
    </w:tbl>
    <w:p w14:paraId="04E6456E" w14:textId="77777777" w:rsidR="001D7AF9" w:rsidRDefault="002E1144">
      <w:pPr>
        <w:pStyle w:val="berschrift2"/>
        <w:spacing w:before="360" w:after="160"/>
      </w:pPr>
      <w:r>
        <w:rPr>
          <w:b/>
          <w:bCs/>
          <w:color w:val="1F3864"/>
        </w:rPr>
        <w:t>2.2 Wichtige Beziehungslogik</w:t>
      </w:r>
    </w:p>
    <w:p w14:paraId="1102447C" w14:textId="77777777" w:rsidR="001D7AF9" w:rsidRDefault="002E1144">
      <w:pPr>
        <w:pStyle w:val="Listenabsatz"/>
        <w:numPr>
          <w:ilvl w:val="0"/>
          <w:numId w:val="1"/>
        </w:numPr>
        <w:spacing w:after="90" w:line="280" w:lineRule="auto"/>
      </w:pPr>
      <w:r>
        <w:rPr>
          <w:b/>
          <w:bCs/>
        </w:rPr>
        <w:t xml:space="preserve">Plan / Szenario: </w:t>
      </w:r>
      <w:r>
        <w:t xml:space="preserve">Ein Szenario ist technisch ein eigener Plan-Datensatz mit einem Feld parent_plan_id und branch_from_phase_id. Beim Erstellen eines Szenarios werden alle Phasen des Ursprungsplans </w:t>
      </w:r>
      <w:r>
        <w:lastRenderedPageBreak/>
        <w:t>bis zur Verzweigungsphase (inkl.) per Deep-Copy dupliziert; ab dort divergieren die Phasenketten unabhängig.</w:t>
      </w:r>
    </w:p>
    <w:p w14:paraId="1F0A1361" w14:textId="77777777" w:rsidR="001D7AF9" w:rsidRDefault="002E1144">
      <w:pPr>
        <w:pStyle w:val="Listenabsatz"/>
        <w:numPr>
          <w:ilvl w:val="0"/>
          <w:numId w:val="1"/>
        </w:numPr>
        <w:spacing w:after="90" w:line="280" w:lineRule="auto"/>
      </w:pPr>
      <w:r>
        <w:rPr>
          <w:b/>
          <w:bCs/>
        </w:rPr>
        <w:t xml:space="preserve">Phasenreihenfolge: </w:t>
      </w:r>
      <w:r>
        <w:t>Phase.sequence_number (Integer) definiert die Reihenfolge innerhalb eines Plans. Phase.start_snapshot referenziert die berechneten Schlusswerte der Vorphase (via PhaseTransition).</w:t>
      </w:r>
    </w:p>
    <w:p w14:paraId="60962AE8" w14:textId="77777777" w:rsidR="001D7AF9" w:rsidRDefault="002E1144">
      <w:pPr>
        <w:pStyle w:val="Listenabsatz"/>
        <w:numPr>
          <w:ilvl w:val="0"/>
          <w:numId w:val="1"/>
        </w:numPr>
        <w:spacing w:after="90" w:line="280" w:lineRule="auto"/>
      </w:pPr>
      <w:r>
        <w:rPr>
          <w:b/>
          <w:bCs/>
        </w:rPr>
        <w:t xml:space="preserve">Einkommens-Eingabemodus: </w:t>
      </w:r>
      <w:r>
        <w:t>Phase.income_mode = 'per_person' | 'household' steuert, ob IncomeEntry-Datensätze eine person_id benötigen oder direkt auf Haushaltsebene erfasst werden.</w:t>
      </w:r>
    </w:p>
    <w:p w14:paraId="7BF8E8BC" w14:textId="77777777" w:rsidR="001D7AF9" w:rsidRDefault="002E1144">
      <w:pPr>
        <w:pStyle w:val="Listenabsatz"/>
        <w:numPr>
          <w:ilvl w:val="0"/>
          <w:numId w:val="1"/>
        </w:numPr>
        <w:spacing w:after="90" w:line="280" w:lineRule="auto"/>
      </w:pPr>
      <w:r>
        <w:rPr>
          <w:b/>
          <w:bCs/>
        </w:rPr>
        <w:t xml:space="preserve">Wertschriften-Personen-Tag: </w:t>
      </w:r>
      <w:r>
        <w:t>Security.owner_tag = 'person_a' | 'person_b' | 'household' – rein deskriptiv, fliesst in keine Berechnung ein.</w:t>
      </w:r>
    </w:p>
    <w:p w14:paraId="17056810" w14:textId="77777777" w:rsidR="001D7AF9" w:rsidRPr="00A25E13" w:rsidRDefault="002E1144">
      <w:pPr>
        <w:pStyle w:val="berschrift1"/>
        <w:pBdr>
          <w:bottom w:val="single" w:sz="6" w:space="4" w:color="2E74B5"/>
        </w:pBdr>
        <w:spacing w:before="480" w:after="240"/>
        <w:rPr>
          <w:lang w:val="en-AU"/>
        </w:rPr>
      </w:pPr>
      <w:r w:rsidRPr="00A25E13">
        <w:rPr>
          <w:b/>
          <w:bCs/>
          <w:color w:val="1F3864"/>
          <w:lang w:val="en-AU"/>
        </w:rPr>
        <w:t>3. Berechnungslogik</w:t>
      </w:r>
    </w:p>
    <w:p w14:paraId="4575F9B7" w14:textId="77777777" w:rsidR="001D7AF9" w:rsidRPr="00A25E13" w:rsidRDefault="002E1144">
      <w:pPr>
        <w:pStyle w:val="berschrift2"/>
        <w:spacing w:before="360" w:after="160"/>
        <w:rPr>
          <w:lang w:val="en-AU"/>
        </w:rPr>
      </w:pPr>
      <w:r w:rsidRPr="00A25E13">
        <w:rPr>
          <w:b/>
          <w:bCs/>
          <w:color w:val="1F3864"/>
          <w:lang w:val="en-AU"/>
        </w:rPr>
        <w:t>3.1 Sparquote pro Phase</w:t>
      </w:r>
    </w:p>
    <w:p w14:paraId="59F9BB65" w14:textId="77777777" w:rsidR="001D7AF9" w:rsidRPr="00A25E13" w:rsidRDefault="002E1144">
      <w:pPr>
        <w:spacing w:after="160" w:line="300" w:lineRule="auto"/>
        <w:rPr>
          <w:lang w:val="en-AU"/>
        </w:rPr>
      </w:pPr>
      <w:r w:rsidRPr="00A25E13">
        <w:rPr>
          <w:rFonts w:ascii="Consolas" w:eastAsia="Consolas" w:hAnsi="Consolas" w:cs="Consolas"/>
          <w:i/>
          <w:iCs/>
          <w:lang w:val="en-AU"/>
        </w:rPr>
        <w:t xml:space="preserve">Sparquote = </w:t>
      </w:r>
      <w:r>
        <w:rPr>
          <w:rFonts w:ascii="Consolas" w:eastAsia="Consolas" w:hAnsi="Consolas" w:cs="Consolas"/>
          <w:i/>
          <w:iCs/>
        </w:rPr>
        <w:t>Σ</w:t>
      </w:r>
      <w:r w:rsidRPr="00A25E13">
        <w:rPr>
          <w:rFonts w:ascii="Consolas" w:eastAsia="Consolas" w:hAnsi="Consolas" w:cs="Consolas"/>
          <w:i/>
          <w:iCs/>
          <w:lang w:val="en-AU"/>
        </w:rPr>
        <w:t xml:space="preserve">(IncomeEntry.amount) − </w:t>
      </w:r>
      <w:r>
        <w:rPr>
          <w:rFonts w:ascii="Consolas" w:eastAsia="Consolas" w:hAnsi="Consolas" w:cs="Consolas"/>
          <w:i/>
          <w:iCs/>
        </w:rPr>
        <w:t>Σ</w:t>
      </w:r>
      <w:r w:rsidRPr="00A25E13">
        <w:rPr>
          <w:rFonts w:ascii="Consolas" w:eastAsia="Consolas" w:hAnsi="Consolas" w:cs="Consolas"/>
          <w:i/>
          <w:iCs/>
          <w:lang w:val="en-AU"/>
        </w:rPr>
        <w:t>(ExpenseEntry.amount)</w:t>
      </w:r>
    </w:p>
    <w:p w14:paraId="5C96EA55" w14:textId="77777777" w:rsidR="001D7AF9" w:rsidRDefault="002E1144">
      <w:pPr>
        <w:spacing w:after="160" w:line="300" w:lineRule="auto"/>
      </w:pPr>
      <w:r>
        <w:t>Validierung: Σ(SavingsAllocation.amount für diese Phase) ≤ Sparquote. Bei Verletzung: Warnmeldung im UI, Speichern bleibt möglich (keine Hard-Blockierung), aber mit sichtbarem Hinweis-Icon auf der Phase-Karte.</w:t>
      </w:r>
    </w:p>
    <w:p w14:paraId="24A89426" w14:textId="77777777" w:rsidR="001D7AF9" w:rsidRDefault="002E1144">
      <w:pPr>
        <w:pStyle w:val="berschrift2"/>
        <w:spacing w:before="360" w:after="160"/>
      </w:pPr>
      <w:r>
        <w:rPr>
          <w:b/>
          <w:bCs/>
          <w:color w:val="1F3864"/>
        </w:rPr>
        <w:t>3.2 Wertschriften-Wachstum (Zinseszins)</w:t>
      </w:r>
    </w:p>
    <w:p w14:paraId="72484467" w14:textId="77777777" w:rsidR="001D7AF9" w:rsidRDefault="002E1144">
      <w:pPr>
        <w:spacing w:after="160" w:line="300" w:lineRule="auto"/>
      </w:pPr>
      <w:r>
        <w:t>Pro Wertschrift und Phase, mit jährlicher Iteration über die Phasendauer:</w:t>
      </w:r>
    </w:p>
    <w:p w14:paraId="59751203" w14:textId="77777777" w:rsidR="001D7AF9" w:rsidRDefault="002E1144">
      <w:pPr>
        <w:spacing w:after="160" w:line="300" w:lineRule="auto"/>
      </w:pPr>
      <w:r>
        <w:rPr>
          <w:rFonts w:ascii="Consolas" w:eastAsia="Consolas" w:hAnsi="Consolas" w:cs="Consolas"/>
          <w:i/>
          <w:iCs/>
        </w:rPr>
        <w:t>Wert(Jahr n) = Wert(Jahr n−1) × (1 + Rendite) + jährlicher Sparbeitrag</w:t>
      </w:r>
    </w:p>
    <w:p w14:paraId="7B40DAD2" w14:textId="77777777" w:rsidR="001D7AF9" w:rsidRDefault="002E1144">
      <w:pPr>
        <w:spacing w:after="160" w:line="300" w:lineRule="auto"/>
      </w:pPr>
      <w:r>
        <w:t>Der Endwert einer Phase ist Wert(Jahr = Phasendauer). Dieser Wert wird bei der Anzeige zusätzlich um die kumulierte Inflation bereinigt (siehe 3.5), um den realen Wert auszuweisen.</w:t>
      </w:r>
    </w:p>
    <w:p w14:paraId="0217B369" w14:textId="77777777" w:rsidR="001D7AF9" w:rsidRDefault="002E1144">
      <w:pPr>
        <w:pStyle w:val="berschrift2"/>
        <w:spacing w:before="360" w:after="160"/>
      </w:pPr>
      <w:r>
        <w:rPr>
          <w:b/>
          <w:bCs/>
          <w:color w:val="1F3864"/>
        </w:rPr>
        <w:t>3.3 Immobilien-Wertentwicklung</w:t>
      </w:r>
    </w:p>
    <w:p w14:paraId="624A8634" w14:textId="77777777" w:rsidR="001D7AF9" w:rsidRDefault="002E1144">
      <w:pPr>
        <w:spacing w:after="160" w:line="300" w:lineRule="auto"/>
      </w:pPr>
      <w:r>
        <w:rPr>
          <w:rFonts w:ascii="Consolas" w:eastAsia="Consolas" w:hAnsi="Consolas" w:cs="Consolas"/>
          <w:i/>
          <w:iCs/>
        </w:rPr>
        <w:t>Marktwert(Jahr n) = Marktwert(Jahr n−1) × (1 + Wertsteigerung)</w:t>
      </w:r>
    </w:p>
    <w:p w14:paraId="600B6889" w14:textId="77777777" w:rsidR="001D7AF9" w:rsidRDefault="002E1144">
      <w:pPr>
        <w:spacing w:after="160" w:line="300" w:lineRule="auto"/>
      </w:pPr>
      <w:r>
        <w:rPr>
          <w:rFonts w:ascii="Consolas" w:eastAsia="Consolas" w:hAnsi="Consolas" w:cs="Consolas"/>
          <w:i/>
          <w:iCs/>
        </w:rPr>
        <w:t>Hypothek(Jahr n) = Hypothek(Jahr n−1) − jährliche Amortisation</w:t>
      </w:r>
    </w:p>
    <w:p w14:paraId="30B632FA" w14:textId="77777777" w:rsidR="001D7AF9" w:rsidRDefault="002E1144">
      <w:pPr>
        <w:spacing w:after="160" w:line="300" w:lineRule="auto"/>
      </w:pPr>
      <w:r>
        <w:t>Nettowert der Immobilie = Marktwert − Hypothek. Bei Verkauf am Phasenende: Grundstückgewinn = Verkaufspreis − ursprünglicher Erwerbswert (vereinfachend: der beim Anlegen der Immobilie erfasste Startwert); darauf wird der TaxAssumption-Prozentsatz angewendet.</w:t>
      </w:r>
    </w:p>
    <w:p w14:paraId="58CE672D" w14:textId="77777777" w:rsidR="001D7AF9" w:rsidRDefault="002E1144">
      <w:pPr>
        <w:pStyle w:val="berschrift2"/>
        <w:spacing w:before="360" w:after="160"/>
      </w:pPr>
      <w:r>
        <w:rPr>
          <w:b/>
          <w:bCs/>
          <w:color w:val="1F3864"/>
        </w:rPr>
        <w:t>3.4 AHV-Plafonierung bei Ehepaaren</w:t>
      </w:r>
    </w:p>
    <w:p w14:paraId="015918B2" w14:textId="77777777" w:rsidR="001D7AF9" w:rsidRDefault="002E1144">
      <w:pPr>
        <w:spacing w:after="160" w:line="300" w:lineRule="auto"/>
      </w:pPr>
      <w:r>
        <w:t>Sobald in einem Haushalt mit zwei Personen beide RetirementInfo-Datensätze mit AHV-Bezug aktiv sind, gilt:</w:t>
      </w:r>
    </w:p>
    <w:p w14:paraId="521514FE" w14:textId="77777777" w:rsidR="001D7AF9" w:rsidRDefault="002E1144">
      <w:pPr>
        <w:spacing w:after="160" w:line="300" w:lineRule="auto"/>
      </w:pPr>
      <w:r>
        <w:rPr>
          <w:rFonts w:ascii="Consolas" w:eastAsia="Consolas" w:hAnsi="Consolas" w:cs="Consolas"/>
          <w:i/>
          <w:iCs/>
        </w:rPr>
        <w:t>gemeinsame_AHV = min(AHV_Person_A + AHV_Person_B, 1.5 × AHV_Maximalrente)</w:t>
      </w:r>
    </w:p>
    <w:p w14:paraId="0DD33430" w14:textId="77777777" w:rsidR="001D7AF9" w:rsidRDefault="002E1144">
      <w:pPr>
        <w:spacing w:after="160" w:line="300" w:lineRule="auto"/>
      </w:pPr>
      <w:r>
        <w:t>Der aktuelle Wert der AHV-Maximalrente ist als konfigurierbarer Systemparameter zu hinterlegen (ändert sich periodisch durch Anpassungen des Bundes) und nicht hart zu codieren.</w:t>
      </w:r>
    </w:p>
    <w:p w14:paraId="7A85C131" w14:textId="77777777" w:rsidR="001D7AF9" w:rsidRDefault="002E1144">
      <w:pPr>
        <w:pStyle w:val="berschrift2"/>
        <w:spacing w:before="360" w:after="160"/>
      </w:pPr>
      <w:r>
        <w:rPr>
          <w:b/>
          <w:bCs/>
          <w:color w:val="1F3864"/>
        </w:rPr>
        <w:t>3.5 Nominal- vs. Realwert (Inflationsbereinigung)</w:t>
      </w:r>
    </w:p>
    <w:p w14:paraId="785177FF" w14:textId="77777777" w:rsidR="001D7AF9" w:rsidRDefault="002E1144">
      <w:pPr>
        <w:spacing w:after="160" w:line="300" w:lineRule="auto"/>
      </w:pPr>
      <w:r>
        <w:rPr>
          <w:rFonts w:ascii="Consolas" w:eastAsia="Consolas" w:hAnsi="Consolas" w:cs="Consolas"/>
          <w:i/>
          <w:iCs/>
        </w:rPr>
        <w:lastRenderedPageBreak/>
        <w:t>kumulierte_Inflation(bis Phase n) = Π(1 + Inflationsrate der Phase i), i = 1…n</w:t>
      </w:r>
    </w:p>
    <w:p w14:paraId="687573EF" w14:textId="77777777" w:rsidR="001D7AF9" w:rsidRDefault="002E1144">
      <w:pPr>
        <w:spacing w:after="160" w:line="300" w:lineRule="auto"/>
      </w:pPr>
      <w:r>
        <w:rPr>
          <w:rFonts w:ascii="Consolas" w:eastAsia="Consolas" w:hAnsi="Consolas" w:cs="Consolas"/>
          <w:i/>
          <w:iCs/>
        </w:rPr>
        <w:t>Realwert = Nominalwert / kumulierte_Inflation(bis Phase n)</w:t>
      </w:r>
    </w:p>
    <w:p w14:paraId="7CED933A" w14:textId="77777777" w:rsidR="001D7AF9" w:rsidRDefault="002E1144">
      <w:pPr>
        <w:spacing w:after="160" w:line="300" w:lineRule="auto"/>
      </w:pPr>
      <w:r>
        <w:t>Die kumulierte Inflation wird ab dem Startdatum des Plans (Phase 1, Jahr 0) fortlaufend berechnet, phasenübergreifend, unter Verwendung der jeweils in der aktiven Phase hinterlegten Inflationsrate.</w:t>
      </w:r>
    </w:p>
    <w:p w14:paraId="41361E7E" w14:textId="77777777" w:rsidR="001D7AF9" w:rsidRDefault="002E1144">
      <w:pPr>
        <w:pStyle w:val="berschrift2"/>
        <w:spacing w:before="360" w:after="160"/>
      </w:pPr>
      <w:r>
        <w:rPr>
          <w:b/>
          <w:bCs/>
          <w:color w:val="1F3864"/>
        </w:rPr>
        <w:t>3.6 Nachlass</w:t>
      </w:r>
    </w:p>
    <w:p w14:paraId="543C9C84" w14:textId="77777777" w:rsidR="001D7AF9" w:rsidRDefault="002E1144">
      <w:pPr>
        <w:spacing w:after="160" w:line="300" w:lineRule="auto"/>
      </w:pPr>
      <w:r>
        <w:t>Nachlass = Endvermögen (nominal) der letzten Phase eines Plans, sofern nach dieser Phase keine weitere Phase existiert. Keine gesonderte Sterbealter-Logik notwendig.</w:t>
      </w:r>
    </w:p>
    <w:p w14:paraId="344D5E81" w14:textId="77777777" w:rsidR="001D7AF9" w:rsidRDefault="002E1144">
      <w:pPr>
        <w:pStyle w:val="berschrift2"/>
        <w:spacing w:before="360" w:after="160"/>
      </w:pPr>
      <w:r>
        <w:rPr>
          <w:b/>
          <w:bCs/>
          <w:color w:val="1F3864"/>
        </w:rPr>
        <w:t>3.7 Kapitalbezugssteuer (Pensionierung)</w:t>
      </w:r>
    </w:p>
    <w:p w14:paraId="172F3995" w14:textId="77777777" w:rsidR="001D7AF9" w:rsidRDefault="002E1144">
      <w:pPr>
        <w:spacing w:after="160" w:line="300" w:lineRule="auto"/>
      </w:pPr>
      <w:r>
        <w:rPr>
          <w:rFonts w:ascii="Consolas" w:eastAsia="Consolas" w:hAnsi="Consolas" w:cs="Consolas"/>
          <w:i/>
          <w:iCs/>
        </w:rPr>
        <w:t>Netto-Kapitalbezug = Brutto-Kapitalbezug × (1 − TaxAssumption.rate)</w:t>
      </w:r>
    </w:p>
    <w:p w14:paraId="09C0BDE2" w14:textId="77777777" w:rsidR="001D7AF9" w:rsidRDefault="002E1144">
      <w:pPr>
        <w:spacing w:after="160" w:line="300" w:lineRule="auto"/>
      </w:pPr>
      <w:r>
        <w:t>TaxAssumption.rate wird pro Ereignis (nicht global) erfasst; Default siehe Kap. 9.</w:t>
      </w:r>
    </w:p>
    <w:p w14:paraId="424135C8" w14:textId="77777777" w:rsidR="001D7AF9" w:rsidRDefault="002E1144">
      <w:pPr>
        <w:pStyle w:val="berschrift1"/>
        <w:pBdr>
          <w:bottom w:val="single" w:sz="6" w:space="4" w:color="2E74B5"/>
        </w:pBdr>
        <w:spacing w:before="480" w:after="240"/>
      </w:pPr>
      <w:r>
        <w:rPr>
          <w:b/>
          <w:bCs/>
          <w:color w:val="1F3864"/>
        </w:rPr>
        <w:t>4. Benutzeroberflächen (Screens)</w:t>
      </w:r>
    </w:p>
    <w:p w14:paraId="5AB919B7" w14:textId="77777777" w:rsidR="001D7AF9" w:rsidRDefault="002E1144">
      <w:pPr>
        <w:pStyle w:val="berschrift2"/>
        <w:spacing w:before="360" w:after="160"/>
      </w:pPr>
      <w:r>
        <w:rPr>
          <w:b/>
          <w:bCs/>
          <w:color w:val="1F3864"/>
        </w:rPr>
        <w:t>4.1 Onboarding / Grundprofil</w:t>
      </w:r>
    </w:p>
    <w:p w14:paraId="0A1C5614" w14:textId="77777777" w:rsidR="001D7AF9" w:rsidRDefault="002E1144">
      <w:pPr>
        <w:pStyle w:val="Listenabsatz"/>
        <w:numPr>
          <w:ilvl w:val="0"/>
          <w:numId w:val="1"/>
        </w:numPr>
        <w:spacing w:after="90" w:line="280" w:lineRule="auto"/>
      </w:pPr>
      <w:r>
        <w:t>Formular: Haushaltsform (Radio: Einzelperson / Paar), Alter pro Person, geplantes Pensionierungsalter pro Person, erwartete Inflationsrate (%, Default-Vorschlag z. B. 1.5 %).</w:t>
      </w:r>
    </w:p>
    <w:p w14:paraId="7C1EF383" w14:textId="77777777" w:rsidR="001D7AF9" w:rsidRDefault="002E1144">
      <w:pPr>
        <w:pStyle w:val="berschrift2"/>
        <w:spacing w:before="360" w:after="160"/>
      </w:pPr>
      <w:r>
        <w:rPr>
          <w:b/>
          <w:bCs/>
          <w:color w:val="1F3864"/>
        </w:rPr>
        <w:t>4.2 Plan-Übersicht (Tab-Leiste)</w:t>
      </w:r>
    </w:p>
    <w:p w14:paraId="4A70D5E9" w14:textId="77777777" w:rsidR="001D7AF9" w:rsidRDefault="002E1144">
      <w:pPr>
        <w:pStyle w:val="Listenabsatz"/>
        <w:numPr>
          <w:ilvl w:val="0"/>
          <w:numId w:val="1"/>
        </w:numPr>
        <w:spacing w:after="90" w:line="280" w:lineRule="auto"/>
      </w:pPr>
      <w:r>
        <w:t>Obere Registerleiste mit einem Tab pro Plan/Szenario. „+“-Button zum Anlegen eines neuen leeren Plans oder eines Szenarios (Auswahl: bestehenden Plan ab Phase X kopieren).</w:t>
      </w:r>
    </w:p>
    <w:p w14:paraId="65CB2615" w14:textId="77777777" w:rsidR="001D7AF9" w:rsidRDefault="002E1144">
      <w:pPr>
        <w:pStyle w:val="Listenabsatz"/>
        <w:numPr>
          <w:ilvl w:val="0"/>
          <w:numId w:val="1"/>
        </w:numPr>
        <w:spacing w:after="90" w:line="280" w:lineRule="auto"/>
      </w:pPr>
      <w:r>
        <w:t>Aktiver Tab zeigt darunter die vertikale Liste aller Phasen dieses Plans (siehe 4.3) sowie am Ende einen „Phase hinzufügen“-Button.</w:t>
      </w:r>
    </w:p>
    <w:p w14:paraId="3D80D6AF" w14:textId="77777777" w:rsidR="001D7AF9" w:rsidRDefault="002E1144">
      <w:pPr>
        <w:pStyle w:val="berschrift2"/>
        <w:spacing w:before="360" w:after="160"/>
      </w:pPr>
      <w:r>
        <w:rPr>
          <w:b/>
          <w:bCs/>
          <w:color w:val="1F3864"/>
        </w:rPr>
        <w:t>4.3 Phase-Karte (Card)</w:t>
      </w:r>
    </w:p>
    <w:p w14:paraId="12B8D65D" w14:textId="77777777" w:rsidR="001D7AF9" w:rsidRDefault="002E1144">
      <w:pPr>
        <w:pStyle w:val="Listenabsatz"/>
        <w:numPr>
          <w:ilvl w:val="0"/>
          <w:numId w:val="1"/>
        </w:numPr>
        <w:spacing w:after="90" w:line="280" w:lineRule="auto"/>
      </w:pPr>
      <w:r>
        <w:t>Eingeklappter Zustand (Default): Titel/Name der Phase, Dauer (Jahre), Startvermögen, Endvermögen (nominal), kleine Sparkline des Vermögensverlaufs.</w:t>
      </w:r>
    </w:p>
    <w:p w14:paraId="580458A5" w14:textId="77777777" w:rsidR="001D7AF9" w:rsidRDefault="002E1144">
      <w:pPr>
        <w:pStyle w:val="Listenabsatz"/>
        <w:numPr>
          <w:ilvl w:val="0"/>
          <w:numId w:val="1"/>
        </w:numPr>
        <w:spacing w:after="90" w:line="280" w:lineRule="auto"/>
      </w:pPr>
      <w:r>
        <w:t>Ausgeklappter Zustand: alle Eingabefelder gemäss Kap. 5 (Datenfeld-Spezifikation), gruppiert in Unterabschnitte Einkommen / Ausgaben / Wertschriften / Immobilien / Sondereinnahmen-Ausgaben / (bei Bedarf) Pensionierung.</w:t>
      </w:r>
    </w:p>
    <w:p w14:paraId="39C987E3" w14:textId="77777777" w:rsidR="001D7AF9" w:rsidRDefault="002E1144">
      <w:pPr>
        <w:pStyle w:val="Listenabsatz"/>
        <w:numPr>
          <w:ilvl w:val="0"/>
          <w:numId w:val="1"/>
        </w:numPr>
        <w:spacing w:after="90" w:line="280" w:lineRule="auto"/>
      </w:pPr>
      <w:r>
        <w:t>Klick auf Karten-Header klappt ein/aus. Kein Modal – Inline-Erweiterung innerhalb der Liste.</w:t>
      </w:r>
    </w:p>
    <w:p w14:paraId="036ED00F" w14:textId="77777777" w:rsidR="001D7AF9" w:rsidRDefault="002E1144">
      <w:pPr>
        <w:pStyle w:val="berschrift2"/>
        <w:spacing w:before="360" w:after="160"/>
      </w:pPr>
      <w:r>
        <w:rPr>
          <w:b/>
          <w:bCs/>
          <w:color w:val="1F3864"/>
        </w:rPr>
        <w:t>4.4 Phasenübergang-Screen</w:t>
      </w:r>
    </w:p>
    <w:p w14:paraId="4D307297" w14:textId="77777777" w:rsidR="001D7AF9" w:rsidRDefault="002E1144">
      <w:pPr>
        <w:pStyle w:val="Listenabsatz"/>
        <w:numPr>
          <w:ilvl w:val="0"/>
          <w:numId w:val="1"/>
        </w:numPr>
        <w:spacing w:after="90" w:line="280" w:lineRule="auto"/>
      </w:pPr>
      <w:r>
        <w:t>Erscheint als eigener, visuell abgesetzter Block zwischen zwei Phase-Karten (z. B. andere Hintergrundfarbe, Icon „Übergang“).</w:t>
      </w:r>
    </w:p>
    <w:p w14:paraId="56A8EBF6" w14:textId="77777777" w:rsidR="001D7AF9" w:rsidRDefault="002E1144">
      <w:pPr>
        <w:pStyle w:val="Listenabsatz"/>
        <w:numPr>
          <w:ilvl w:val="0"/>
          <w:numId w:val="1"/>
        </w:numPr>
        <w:spacing w:after="90" w:line="280" w:lineRule="auto"/>
      </w:pPr>
      <w:r>
        <w:t>Tabelle aller Positionen (Wertschriften + Immobilien) der Vorphase mit Toggle „Übernehmen“ / „Verkaufen“ pro Zeile.</w:t>
      </w:r>
    </w:p>
    <w:p w14:paraId="297125CB" w14:textId="77777777" w:rsidR="001D7AF9" w:rsidRDefault="002E1144">
      <w:pPr>
        <w:pStyle w:val="Listenabsatz"/>
        <w:numPr>
          <w:ilvl w:val="0"/>
          <w:numId w:val="1"/>
        </w:numPr>
        <w:spacing w:after="90" w:line="280" w:lineRule="auto"/>
      </w:pPr>
      <w:r>
        <w:lastRenderedPageBreak/>
        <w:t>Bei „Verkaufen“: zusätzliches Eingabefeld für geschätzten Verkaufspreis (bei Immobilien) sowie automatische Anzeige der geschätzten Steuer und des Netto-Erlöses.</w:t>
      </w:r>
    </w:p>
    <w:p w14:paraId="74C3A606" w14:textId="77777777" w:rsidR="001D7AF9" w:rsidRDefault="002E1144">
      <w:pPr>
        <w:pStyle w:val="Listenabsatz"/>
        <w:numPr>
          <w:ilvl w:val="0"/>
          <w:numId w:val="1"/>
        </w:numPr>
        <w:spacing w:after="90" w:line="280" w:lineRule="auto"/>
      </w:pPr>
      <w:r>
        <w:t>Zusammenfassung am Fussende: „Verfügbares Startkapital für neue Phase: CHF X“, mit Verteil-Interface auf neue/bestehende Wertschriften der Folgephase.</w:t>
      </w:r>
    </w:p>
    <w:p w14:paraId="10C526C0" w14:textId="77777777" w:rsidR="001D7AF9" w:rsidRDefault="002E1144">
      <w:pPr>
        <w:pStyle w:val="berschrift2"/>
        <w:spacing w:before="360" w:after="160"/>
      </w:pPr>
      <w:r>
        <w:rPr>
          <w:b/>
          <w:bCs/>
          <w:color w:val="1F3864"/>
        </w:rPr>
        <w:t>4.5 Dashboard</w:t>
      </w:r>
    </w:p>
    <w:p w14:paraId="766C3CE2" w14:textId="77777777" w:rsidR="001D7AF9" w:rsidRDefault="002E1144">
      <w:pPr>
        <w:pStyle w:val="Listenabsatz"/>
        <w:numPr>
          <w:ilvl w:val="0"/>
          <w:numId w:val="1"/>
        </w:numPr>
        <w:spacing w:after="90" w:line="280" w:lineRule="auto"/>
      </w:pPr>
      <w:r>
        <w:t>Liniendiagramm Vermögensverlauf (nominal + real), X-Achse = Zeit/Phasen, mit vertikalen Trennlinien an Phasengrenzen.</w:t>
      </w:r>
    </w:p>
    <w:p w14:paraId="31689F97" w14:textId="77777777" w:rsidR="001D7AF9" w:rsidRDefault="002E1144">
      <w:pPr>
        <w:pStyle w:val="Listenabsatz"/>
        <w:numPr>
          <w:ilvl w:val="0"/>
          <w:numId w:val="1"/>
        </w:numPr>
        <w:spacing w:after="90" w:line="280" w:lineRule="auto"/>
      </w:pPr>
      <w:r>
        <w:t>Gestapeltes Balkendiagramm pro Phase (Aufteilung Endvermögen nach Wertschrift/Immobilie).</w:t>
      </w:r>
    </w:p>
    <w:p w14:paraId="15BF3681" w14:textId="77777777" w:rsidR="001D7AF9" w:rsidRDefault="002E1144">
      <w:pPr>
        <w:pStyle w:val="Listenabsatz"/>
        <w:numPr>
          <w:ilvl w:val="0"/>
          <w:numId w:val="1"/>
        </w:numPr>
        <w:spacing w:after="90" w:line="280" w:lineRule="auto"/>
      </w:pPr>
      <w:r>
        <w:t>Szenario-Vergleichsansicht: Mehrfachauswahl von Plänen/Szenarien, überlagerte Linien im selben Chart plus Tabelle mit Kennzahlen pro Phase nebeneinander.</w:t>
      </w:r>
    </w:p>
    <w:p w14:paraId="639AB3C0" w14:textId="77777777" w:rsidR="001D7AF9" w:rsidRDefault="002E1144">
      <w:pPr>
        <w:pStyle w:val="Listenabsatz"/>
        <w:numPr>
          <w:ilvl w:val="0"/>
          <w:numId w:val="1"/>
        </w:numPr>
        <w:spacing w:after="90" w:line="280" w:lineRule="auto"/>
      </w:pPr>
      <w:r>
        <w:t>Export-Button: generiert CSV/Excel mit einer Zeile pro Phase und allen Kernkennzahlen.</w:t>
      </w:r>
    </w:p>
    <w:p w14:paraId="40EEB221" w14:textId="77777777" w:rsidR="001D7AF9" w:rsidRDefault="002E1144">
      <w:pPr>
        <w:pStyle w:val="berschrift1"/>
        <w:pBdr>
          <w:bottom w:val="single" w:sz="6" w:space="4" w:color="2E74B5"/>
        </w:pBdr>
        <w:spacing w:before="480" w:after="240"/>
      </w:pPr>
      <w:r>
        <w:rPr>
          <w:b/>
          <w:bCs/>
          <w:color w:val="1F3864"/>
        </w:rPr>
        <w:t>5. Datenfeld-Spezifikation (Labels &amp; Hilfetexte)</w:t>
      </w:r>
    </w:p>
    <w:p w14:paraId="20346C9D" w14:textId="77777777" w:rsidR="001D7AF9" w:rsidRDefault="002E1144">
      <w:pPr>
        <w:spacing w:after="160" w:line="300" w:lineRule="auto"/>
      </w:pPr>
      <w:r>
        <w:t>Diese Tabellen definieren die exakten UI-Beschriftungen (Labels) und Hilfetexte (Info-Bubbles), gruppiert nach Bereich.</w:t>
      </w:r>
    </w:p>
    <w:p w14:paraId="16378799" w14:textId="77777777" w:rsidR="001D7AF9" w:rsidRDefault="002E1144">
      <w:pPr>
        <w:pStyle w:val="berschrift2"/>
        <w:spacing w:before="360" w:after="160"/>
      </w:pPr>
      <w:r>
        <w:rPr>
          <w:b/>
          <w:bCs/>
          <w:color w:val="1F3864"/>
        </w:rPr>
        <w:t>5.1 Grundprofil</w:t>
      </w:r>
    </w:p>
    <w:tbl>
      <w:tblP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000"/>
        <w:gridCol w:w="1400"/>
        <w:gridCol w:w="4800"/>
      </w:tblGrid>
      <w:tr w:rsidR="001D7AF9" w14:paraId="6323C0B6" w14:textId="77777777">
        <w:tblPrEx>
          <w:tblCellMar>
            <w:top w:w="0" w:type="dxa"/>
            <w:bottom w:w="0" w:type="dxa"/>
          </w:tblCellMar>
        </w:tblPrEx>
        <w:trPr>
          <w:tblHeader/>
        </w:trPr>
        <w:tc>
          <w:tcPr>
            <w:tcW w:w="2200" w:type="dxa"/>
            <w:shd w:val="clear" w:color="auto" w:fill="1F3864"/>
            <w:tcMar>
              <w:top w:w="80" w:type="dxa"/>
              <w:left w:w="100" w:type="dxa"/>
              <w:bottom w:w="80" w:type="dxa"/>
              <w:right w:w="100" w:type="dxa"/>
            </w:tcMar>
            <w:vAlign w:val="center"/>
          </w:tcPr>
          <w:p w14:paraId="6B59B3C6" w14:textId="77777777" w:rsidR="001D7AF9" w:rsidRDefault="002E1144">
            <w:r>
              <w:rPr>
                <w:b/>
                <w:bCs/>
                <w:color w:val="FFFFFF"/>
                <w:sz w:val="19"/>
                <w:szCs w:val="19"/>
              </w:rPr>
              <w:t>Feld</w:t>
            </w:r>
          </w:p>
        </w:tc>
        <w:tc>
          <w:tcPr>
            <w:tcW w:w="3000" w:type="dxa"/>
            <w:shd w:val="clear" w:color="auto" w:fill="1F3864"/>
            <w:tcMar>
              <w:top w:w="80" w:type="dxa"/>
              <w:left w:w="100" w:type="dxa"/>
              <w:bottom w:w="80" w:type="dxa"/>
              <w:right w:w="100" w:type="dxa"/>
            </w:tcMar>
            <w:vAlign w:val="center"/>
          </w:tcPr>
          <w:p w14:paraId="6B529FCC" w14:textId="77777777" w:rsidR="001D7AF9" w:rsidRDefault="002E1144">
            <w:r>
              <w:rPr>
                <w:b/>
                <w:bCs/>
                <w:color w:val="FFFFFF"/>
                <w:sz w:val="19"/>
                <w:szCs w:val="19"/>
              </w:rPr>
              <w:t>Label (UI)</w:t>
            </w:r>
          </w:p>
        </w:tc>
        <w:tc>
          <w:tcPr>
            <w:tcW w:w="1400" w:type="dxa"/>
            <w:shd w:val="clear" w:color="auto" w:fill="1F3864"/>
            <w:tcMar>
              <w:top w:w="80" w:type="dxa"/>
              <w:left w:w="100" w:type="dxa"/>
              <w:bottom w:w="80" w:type="dxa"/>
              <w:right w:w="100" w:type="dxa"/>
            </w:tcMar>
            <w:vAlign w:val="center"/>
          </w:tcPr>
          <w:p w14:paraId="5BC95277" w14:textId="77777777" w:rsidR="001D7AF9" w:rsidRDefault="002E1144">
            <w:r>
              <w:rPr>
                <w:b/>
                <w:bCs/>
                <w:color w:val="FFFFFF"/>
                <w:sz w:val="19"/>
                <w:szCs w:val="19"/>
              </w:rPr>
              <w:t>Typ</w:t>
            </w:r>
          </w:p>
        </w:tc>
        <w:tc>
          <w:tcPr>
            <w:tcW w:w="4800" w:type="dxa"/>
            <w:shd w:val="clear" w:color="auto" w:fill="1F3864"/>
            <w:tcMar>
              <w:top w:w="80" w:type="dxa"/>
              <w:left w:w="100" w:type="dxa"/>
              <w:bottom w:w="80" w:type="dxa"/>
              <w:right w:w="100" w:type="dxa"/>
            </w:tcMar>
            <w:vAlign w:val="center"/>
          </w:tcPr>
          <w:p w14:paraId="556D74B9" w14:textId="77777777" w:rsidR="001D7AF9" w:rsidRDefault="002E1144">
            <w:r>
              <w:rPr>
                <w:b/>
                <w:bCs/>
                <w:color w:val="FFFFFF"/>
                <w:sz w:val="19"/>
                <w:szCs w:val="19"/>
              </w:rPr>
              <w:t>Hilfetext</w:t>
            </w:r>
          </w:p>
        </w:tc>
      </w:tr>
      <w:tr w:rsidR="001D7AF9" w14:paraId="2E15C5D4" w14:textId="77777777">
        <w:tblPrEx>
          <w:tblCellMar>
            <w:top w:w="0" w:type="dxa"/>
            <w:bottom w:w="0" w:type="dxa"/>
          </w:tblCellMar>
        </w:tblPrEx>
        <w:tc>
          <w:tcPr>
            <w:tcW w:w="2200" w:type="dxa"/>
            <w:tcMar>
              <w:top w:w="80" w:type="dxa"/>
              <w:left w:w="100" w:type="dxa"/>
              <w:bottom w:w="80" w:type="dxa"/>
              <w:right w:w="100" w:type="dxa"/>
            </w:tcMar>
            <w:vAlign w:val="center"/>
          </w:tcPr>
          <w:p w14:paraId="6DA4E859" w14:textId="77777777" w:rsidR="001D7AF9" w:rsidRDefault="002E1144">
            <w:r>
              <w:rPr>
                <w:color w:val="000000"/>
                <w:sz w:val="19"/>
                <w:szCs w:val="19"/>
              </w:rPr>
              <w:t>household_type</w:t>
            </w:r>
          </w:p>
        </w:tc>
        <w:tc>
          <w:tcPr>
            <w:tcW w:w="3000" w:type="dxa"/>
            <w:tcMar>
              <w:top w:w="80" w:type="dxa"/>
              <w:left w:w="100" w:type="dxa"/>
              <w:bottom w:w="80" w:type="dxa"/>
              <w:right w:w="100" w:type="dxa"/>
            </w:tcMar>
            <w:vAlign w:val="center"/>
          </w:tcPr>
          <w:p w14:paraId="6A727D30" w14:textId="77777777" w:rsidR="001D7AF9" w:rsidRDefault="002E1144">
            <w:r>
              <w:rPr>
                <w:color w:val="000000"/>
                <w:sz w:val="19"/>
                <w:szCs w:val="19"/>
              </w:rPr>
              <w:t>Haushaltsform</w:t>
            </w:r>
          </w:p>
        </w:tc>
        <w:tc>
          <w:tcPr>
            <w:tcW w:w="1400" w:type="dxa"/>
            <w:tcMar>
              <w:top w:w="80" w:type="dxa"/>
              <w:left w:w="100" w:type="dxa"/>
              <w:bottom w:w="80" w:type="dxa"/>
              <w:right w:w="100" w:type="dxa"/>
            </w:tcMar>
            <w:vAlign w:val="center"/>
          </w:tcPr>
          <w:p w14:paraId="45399924" w14:textId="77777777" w:rsidR="001D7AF9" w:rsidRDefault="002E1144">
            <w:r>
              <w:rPr>
                <w:color w:val="000000"/>
                <w:sz w:val="19"/>
                <w:szCs w:val="19"/>
              </w:rPr>
              <w:t>Auswahl</w:t>
            </w:r>
          </w:p>
        </w:tc>
        <w:tc>
          <w:tcPr>
            <w:tcW w:w="4800" w:type="dxa"/>
            <w:tcMar>
              <w:top w:w="80" w:type="dxa"/>
              <w:left w:w="100" w:type="dxa"/>
              <w:bottom w:w="80" w:type="dxa"/>
              <w:right w:w="100" w:type="dxa"/>
            </w:tcMar>
            <w:vAlign w:val="center"/>
          </w:tcPr>
          <w:p w14:paraId="4DB4D9D6" w14:textId="77777777" w:rsidR="001D7AF9" w:rsidRDefault="002E1144">
            <w:r>
              <w:rPr>
                <w:color w:val="000000"/>
                <w:sz w:val="19"/>
                <w:szCs w:val="19"/>
              </w:rPr>
              <w:t>Wählen Sie, ob Sie alleine oder gemeinsam mit einer Partnerin / einem Partner planen.</w:t>
            </w:r>
          </w:p>
        </w:tc>
      </w:tr>
      <w:tr w:rsidR="001D7AF9" w14:paraId="0728F667" w14:textId="77777777">
        <w:tblPrEx>
          <w:tblCellMar>
            <w:top w:w="0" w:type="dxa"/>
            <w:bottom w:w="0" w:type="dxa"/>
          </w:tblCellMar>
        </w:tblPrEx>
        <w:tc>
          <w:tcPr>
            <w:tcW w:w="2200" w:type="dxa"/>
            <w:shd w:val="clear" w:color="auto" w:fill="F2F2F2"/>
            <w:tcMar>
              <w:top w:w="80" w:type="dxa"/>
              <w:left w:w="100" w:type="dxa"/>
              <w:bottom w:w="80" w:type="dxa"/>
              <w:right w:w="100" w:type="dxa"/>
            </w:tcMar>
            <w:vAlign w:val="center"/>
          </w:tcPr>
          <w:p w14:paraId="14531CC0" w14:textId="77777777" w:rsidR="001D7AF9" w:rsidRDefault="002E1144">
            <w:r>
              <w:rPr>
                <w:color w:val="000000"/>
                <w:sz w:val="19"/>
                <w:szCs w:val="19"/>
              </w:rPr>
              <w:t>person.age</w:t>
            </w:r>
          </w:p>
        </w:tc>
        <w:tc>
          <w:tcPr>
            <w:tcW w:w="3000" w:type="dxa"/>
            <w:shd w:val="clear" w:color="auto" w:fill="F2F2F2"/>
            <w:tcMar>
              <w:top w:w="80" w:type="dxa"/>
              <w:left w:w="100" w:type="dxa"/>
              <w:bottom w:w="80" w:type="dxa"/>
              <w:right w:w="100" w:type="dxa"/>
            </w:tcMar>
            <w:vAlign w:val="center"/>
          </w:tcPr>
          <w:p w14:paraId="5382B735" w14:textId="77777777" w:rsidR="001D7AF9" w:rsidRDefault="002E1144">
            <w:r>
              <w:rPr>
                <w:color w:val="000000"/>
                <w:sz w:val="19"/>
                <w:szCs w:val="19"/>
              </w:rPr>
              <w:t>Aktuelles Alter</w:t>
            </w:r>
          </w:p>
        </w:tc>
        <w:tc>
          <w:tcPr>
            <w:tcW w:w="1400" w:type="dxa"/>
            <w:shd w:val="clear" w:color="auto" w:fill="F2F2F2"/>
            <w:tcMar>
              <w:top w:w="80" w:type="dxa"/>
              <w:left w:w="100" w:type="dxa"/>
              <w:bottom w:w="80" w:type="dxa"/>
              <w:right w:w="100" w:type="dxa"/>
            </w:tcMar>
            <w:vAlign w:val="center"/>
          </w:tcPr>
          <w:p w14:paraId="58BB54B4" w14:textId="77777777" w:rsidR="001D7AF9" w:rsidRDefault="002E1144">
            <w:r>
              <w:rPr>
                <w:color w:val="000000"/>
                <w:sz w:val="19"/>
                <w:szCs w:val="19"/>
              </w:rPr>
              <w:t>Zahl</w:t>
            </w:r>
          </w:p>
        </w:tc>
        <w:tc>
          <w:tcPr>
            <w:tcW w:w="4800" w:type="dxa"/>
            <w:shd w:val="clear" w:color="auto" w:fill="F2F2F2"/>
            <w:tcMar>
              <w:top w:w="80" w:type="dxa"/>
              <w:left w:w="100" w:type="dxa"/>
              <w:bottom w:w="80" w:type="dxa"/>
              <w:right w:w="100" w:type="dxa"/>
            </w:tcMar>
            <w:vAlign w:val="center"/>
          </w:tcPr>
          <w:p w14:paraId="25AD5F2D" w14:textId="77777777" w:rsidR="001D7AF9" w:rsidRDefault="002E1144">
            <w:r>
              <w:rPr>
                <w:color w:val="000000"/>
                <w:sz w:val="19"/>
                <w:szCs w:val="19"/>
              </w:rPr>
              <w:t>Ihr heutiges Alter in vollen Jahren.</w:t>
            </w:r>
          </w:p>
        </w:tc>
      </w:tr>
      <w:tr w:rsidR="001D7AF9" w14:paraId="7CDF0D60" w14:textId="77777777">
        <w:tblPrEx>
          <w:tblCellMar>
            <w:top w:w="0" w:type="dxa"/>
            <w:bottom w:w="0" w:type="dxa"/>
          </w:tblCellMar>
        </w:tblPrEx>
        <w:tc>
          <w:tcPr>
            <w:tcW w:w="2200" w:type="dxa"/>
            <w:tcMar>
              <w:top w:w="80" w:type="dxa"/>
              <w:left w:w="100" w:type="dxa"/>
              <w:bottom w:w="80" w:type="dxa"/>
              <w:right w:w="100" w:type="dxa"/>
            </w:tcMar>
            <w:vAlign w:val="center"/>
          </w:tcPr>
          <w:p w14:paraId="4981719C" w14:textId="77777777" w:rsidR="001D7AF9" w:rsidRDefault="002E1144">
            <w:r>
              <w:rPr>
                <w:color w:val="000000"/>
                <w:sz w:val="19"/>
                <w:szCs w:val="19"/>
              </w:rPr>
              <w:t>person.retirement_age</w:t>
            </w:r>
          </w:p>
        </w:tc>
        <w:tc>
          <w:tcPr>
            <w:tcW w:w="3000" w:type="dxa"/>
            <w:tcMar>
              <w:top w:w="80" w:type="dxa"/>
              <w:left w:w="100" w:type="dxa"/>
              <w:bottom w:w="80" w:type="dxa"/>
              <w:right w:w="100" w:type="dxa"/>
            </w:tcMar>
            <w:vAlign w:val="center"/>
          </w:tcPr>
          <w:p w14:paraId="05F03D40" w14:textId="77777777" w:rsidR="001D7AF9" w:rsidRDefault="002E1144">
            <w:r>
              <w:rPr>
                <w:color w:val="000000"/>
                <w:sz w:val="19"/>
                <w:szCs w:val="19"/>
              </w:rPr>
              <w:t>Geplantes Pensionierungsalter</w:t>
            </w:r>
          </w:p>
        </w:tc>
        <w:tc>
          <w:tcPr>
            <w:tcW w:w="1400" w:type="dxa"/>
            <w:tcMar>
              <w:top w:w="80" w:type="dxa"/>
              <w:left w:w="100" w:type="dxa"/>
              <w:bottom w:w="80" w:type="dxa"/>
              <w:right w:w="100" w:type="dxa"/>
            </w:tcMar>
            <w:vAlign w:val="center"/>
          </w:tcPr>
          <w:p w14:paraId="6C6A6FFA" w14:textId="77777777" w:rsidR="001D7AF9" w:rsidRDefault="002E1144">
            <w:r>
              <w:rPr>
                <w:color w:val="000000"/>
                <w:sz w:val="19"/>
                <w:szCs w:val="19"/>
              </w:rPr>
              <w:t>Zahl</w:t>
            </w:r>
          </w:p>
        </w:tc>
        <w:tc>
          <w:tcPr>
            <w:tcW w:w="4800" w:type="dxa"/>
            <w:tcMar>
              <w:top w:w="80" w:type="dxa"/>
              <w:left w:w="100" w:type="dxa"/>
              <w:bottom w:w="80" w:type="dxa"/>
              <w:right w:w="100" w:type="dxa"/>
            </w:tcMar>
            <w:vAlign w:val="center"/>
          </w:tcPr>
          <w:p w14:paraId="4A56BEB5" w14:textId="77777777" w:rsidR="001D7AF9" w:rsidRDefault="002E1144">
            <w:r>
              <w:rPr>
                <w:color w:val="000000"/>
                <w:sz w:val="19"/>
                <w:szCs w:val="19"/>
              </w:rPr>
              <w:t>Das Alter, in dem Sie voraussichtlich in Rente gehen möchten. Dient nur der groben Orientierung bei der Phasenplanung.</w:t>
            </w:r>
          </w:p>
        </w:tc>
      </w:tr>
      <w:tr w:rsidR="001D7AF9" w14:paraId="1CF0ABA8" w14:textId="77777777">
        <w:tblPrEx>
          <w:tblCellMar>
            <w:top w:w="0" w:type="dxa"/>
            <w:bottom w:w="0" w:type="dxa"/>
          </w:tblCellMar>
        </w:tblPrEx>
        <w:tc>
          <w:tcPr>
            <w:tcW w:w="2200" w:type="dxa"/>
            <w:shd w:val="clear" w:color="auto" w:fill="F2F2F2"/>
            <w:tcMar>
              <w:top w:w="80" w:type="dxa"/>
              <w:left w:w="100" w:type="dxa"/>
              <w:bottom w:w="80" w:type="dxa"/>
              <w:right w:w="100" w:type="dxa"/>
            </w:tcMar>
            <w:vAlign w:val="center"/>
          </w:tcPr>
          <w:p w14:paraId="14112419" w14:textId="77777777" w:rsidR="001D7AF9" w:rsidRDefault="002E1144">
            <w:r>
              <w:rPr>
                <w:color w:val="000000"/>
                <w:sz w:val="19"/>
                <w:szCs w:val="19"/>
              </w:rPr>
              <w:t>inflation_rate_default</w:t>
            </w:r>
          </w:p>
        </w:tc>
        <w:tc>
          <w:tcPr>
            <w:tcW w:w="3000" w:type="dxa"/>
            <w:shd w:val="clear" w:color="auto" w:fill="F2F2F2"/>
            <w:tcMar>
              <w:top w:w="80" w:type="dxa"/>
              <w:left w:w="100" w:type="dxa"/>
              <w:bottom w:w="80" w:type="dxa"/>
              <w:right w:w="100" w:type="dxa"/>
            </w:tcMar>
            <w:vAlign w:val="center"/>
          </w:tcPr>
          <w:p w14:paraId="70A28F3F" w14:textId="77777777" w:rsidR="001D7AF9" w:rsidRDefault="002E1144">
            <w:r>
              <w:rPr>
                <w:color w:val="000000"/>
                <w:sz w:val="19"/>
                <w:szCs w:val="19"/>
              </w:rPr>
              <w:t>Erwartete Inflationsrate (%)</w:t>
            </w:r>
          </w:p>
        </w:tc>
        <w:tc>
          <w:tcPr>
            <w:tcW w:w="1400" w:type="dxa"/>
            <w:shd w:val="clear" w:color="auto" w:fill="F2F2F2"/>
            <w:tcMar>
              <w:top w:w="80" w:type="dxa"/>
              <w:left w:w="100" w:type="dxa"/>
              <w:bottom w:w="80" w:type="dxa"/>
              <w:right w:w="100" w:type="dxa"/>
            </w:tcMar>
            <w:vAlign w:val="center"/>
          </w:tcPr>
          <w:p w14:paraId="275E5E9F" w14:textId="77777777" w:rsidR="001D7AF9" w:rsidRDefault="002E1144">
            <w:r>
              <w:rPr>
                <w:color w:val="000000"/>
                <w:sz w:val="19"/>
                <w:szCs w:val="19"/>
              </w:rPr>
              <w:t>Prozent</w:t>
            </w:r>
          </w:p>
        </w:tc>
        <w:tc>
          <w:tcPr>
            <w:tcW w:w="4800" w:type="dxa"/>
            <w:shd w:val="clear" w:color="auto" w:fill="F2F2F2"/>
            <w:tcMar>
              <w:top w:w="80" w:type="dxa"/>
              <w:left w:w="100" w:type="dxa"/>
              <w:bottom w:w="80" w:type="dxa"/>
              <w:right w:w="100" w:type="dxa"/>
            </w:tcMar>
            <w:vAlign w:val="center"/>
          </w:tcPr>
          <w:p w14:paraId="6A60C19E" w14:textId="77777777" w:rsidR="001D7AF9" w:rsidRDefault="002E1144">
            <w:r>
              <w:rPr>
                <w:color w:val="000000"/>
                <w:sz w:val="19"/>
                <w:szCs w:val="19"/>
              </w:rPr>
              <w:t>Langfristige Annahme zur jährlichen Teuerung. Kann pro Lebensphase individuell überschrieben werden.</w:t>
            </w:r>
          </w:p>
        </w:tc>
      </w:tr>
    </w:tbl>
    <w:p w14:paraId="57F61D07" w14:textId="77777777" w:rsidR="001D7AF9" w:rsidRDefault="002E1144">
      <w:pPr>
        <w:pStyle w:val="berschrift2"/>
        <w:spacing w:before="360" w:after="160"/>
      </w:pPr>
      <w:r>
        <w:rPr>
          <w:b/>
          <w:bCs/>
          <w:color w:val="1F3864"/>
        </w:rPr>
        <w:t>5.2 Phase (allgemein)</w:t>
      </w:r>
    </w:p>
    <w:tbl>
      <w:tblP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000"/>
        <w:gridCol w:w="1400"/>
        <w:gridCol w:w="4800"/>
      </w:tblGrid>
      <w:tr w:rsidR="001D7AF9" w14:paraId="0D7BF180" w14:textId="77777777">
        <w:tblPrEx>
          <w:tblCellMar>
            <w:top w:w="0" w:type="dxa"/>
            <w:bottom w:w="0" w:type="dxa"/>
          </w:tblCellMar>
        </w:tblPrEx>
        <w:trPr>
          <w:tblHeader/>
        </w:trPr>
        <w:tc>
          <w:tcPr>
            <w:tcW w:w="2200" w:type="dxa"/>
            <w:shd w:val="clear" w:color="auto" w:fill="1F3864"/>
            <w:tcMar>
              <w:top w:w="80" w:type="dxa"/>
              <w:left w:w="100" w:type="dxa"/>
              <w:bottom w:w="80" w:type="dxa"/>
              <w:right w:w="100" w:type="dxa"/>
            </w:tcMar>
            <w:vAlign w:val="center"/>
          </w:tcPr>
          <w:p w14:paraId="17C47CF2" w14:textId="77777777" w:rsidR="001D7AF9" w:rsidRDefault="002E1144">
            <w:r>
              <w:rPr>
                <w:b/>
                <w:bCs/>
                <w:color w:val="FFFFFF"/>
                <w:sz w:val="19"/>
                <w:szCs w:val="19"/>
              </w:rPr>
              <w:t>Feld</w:t>
            </w:r>
          </w:p>
        </w:tc>
        <w:tc>
          <w:tcPr>
            <w:tcW w:w="3000" w:type="dxa"/>
            <w:shd w:val="clear" w:color="auto" w:fill="1F3864"/>
            <w:tcMar>
              <w:top w:w="80" w:type="dxa"/>
              <w:left w:w="100" w:type="dxa"/>
              <w:bottom w:w="80" w:type="dxa"/>
              <w:right w:w="100" w:type="dxa"/>
            </w:tcMar>
            <w:vAlign w:val="center"/>
          </w:tcPr>
          <w:p w14:paraId="67FA1CDD" w14:textId="77777777" w:rsidR="001D7AF9" w:rsidRDefault="002E1144">
            <w:r>
              <w:rPr>
                <w:b/>
                <w:bCs/>
                <w:color w:val="FFFFFF"/>
                <w:sz w:val="19"/>
                <w:szCs w:val="19"/>
              </w:rPr>
              <w:t>Label (UI)</w:t>
            </w:r>
          </w:p>
        </w:tc>
        <w:tc>
          <w:tcPr>
            <w:tcW w:w="1400" w:type="dxa"/>
            <w:shd w:val="clear" w:color="auto" w:fill="1F3864"/>
            <w:tcMar>
              <w:top w:w="80" w:type="dxa"/>
              <w:left w:w="100" w:type="dxa"/>
              <w:bottom w:w="80" w:type="dxa"/>
              <w:right w:w="100" w:type="dxa"/>
            </w:tcMar>
            <w:vAlign w:val="center"/>
          </w:tcPr>
          <w:p w14:paraId="01323909" w14:textId="77777777" w:rsidR="001D7AF9" w:rsidRDefault="002E1144">
            <w:r>
              <w:rPr>
                <w:b/>
                <w:bCs/>
                <w:color w:val="FFFFFF"/>
                <w:sz w:val="19"/>
                <w:szCs w:val="19"/>
              </w:rPr>
              <w:t>Typ</w:t>
            </w:r>
          </w:p>
        </w:tc>
        <w:tc>
          <w:tcPr>
            <w:tcW w:w="4800" w:type="dxa"/>
            <w:shd w:val="clear" w:color="auto" w:fill="1F3864"/>
            <w:tcMar>
              <w:top w:w="80" w:type="dxa"/>
              <w:left w:w="100" w:type="dxa"/>
              <w:bottom w:w="80" w:type="dxa"/>
              <w:right w:w="100" w:type="dxa"/>
            </w:tcMar>
            <w:vAlign w:val="center"/>
          </w:tcPr>
          <w:p w14:paraId="7EC2AD36" w14:textId="77777777" w:rsidR="001D7AF9" w:rsidRDefault="002E1144">
            <w:r>
              <w:rPr>
                <w:b/>
                <w:bCs/>
                <w:color w:val="FFFFFF"/>
                <w:sz w:val="19"/>
                <w:szCs w:val="19"/>
              </w:rPr>
              <w:t>Hilfetext</w:t>
            </w:r>
          </w:p>
        </w:tc>
      </w:tr>
      <w:tr w:rsidR="001D7AF9" w14:paraId="670A0866" w14:textId="77777777">
        <w:tblPrEx>
          <w:tblCellMar>
            <w:top w:w="0" w:type="dxa"/>
            <w:bottom w:w="0" w:type="dxa"/>
          </w:tblCellMar>
        </w:tblPrEx>
        <w:tc>
          <w:tcPr>
            <w:tcW w:w="2200" w:type="dxa"/>
            <w:tcMar>
              <w:top w:w="80" w:type="dxa"/>
              <w:left w:w="100" w:type="dxa"/>
              <w:bottom w:w="80" w:type="dxa"/>
              <w:right w:w="100" w:type="dxa"/>
            </w:tcMar>
            <w:vAlign w:val="center"/>
          </w:tcPr>
          <w:p w14:paraId="66EC6455" w14:textId="77777777" w:rsidR="001D7AF9" w:rsidRDefault="002E1144">
            <w:r>
              <w:rPr>
                <w:color w:val="000000"/>
                <w:sz w:val="19"/>
                <w:szCs w:val="19"/>
              </w:rPr>
              <w:t>phase.name</w:t>
            </w:r>
          </w:p>
        </w:tc>
        <w:tc>
          <w:tcPr>
            <w:tcW w:w="3000" w:type="dxa"/>
            <w:tcMar>
              <w:top w:w="80" w:type="dxa"/>
              <w:left w:w="100" w:type="dxa"/>
              <w:bottom w:w="80" w:type="dxa"/>
              <w:right w:w="100" w:type="dxa"/>
            </w:tcMar>
            <w:vAlign w:val="center"/>
          </w:tcPr>
          <w:p w14:paraId="15D210DC" w14:textId="77777777" w:rsidR="001D7AF9" w:rsidRDefault="002E1144">
            <w:r>
              <w:rPr>
                <w:color w:val="000000"/>
                <w:sz w:val="19"/>
                <w:szCs w:val="19"/>
              </w:rPr>
              <w:t>Bezeichnung der Lebensphase</w:t>
            </w:r>
          </w:p>
        </w:tc>
        <w:tc>
          <w:tcPr>
            <w:tcW w:w="1400" w:type="dxa"/>
            <w:tcMar>
              <w:top w:w="80" w:type="dxa"/>
              <w:left w:w="100" w:type="dxa"/>
              <w:bottom w:w="80" w:type="dxa"/>
              <w:right w:w="100" w:type="dxa"/>
            </w:tcMar>
            <w:vAlign w:val="center"/>
          </w:tcPr>
          <w:p w14:paraId="36DD84B1" w14:textId="77777777" w:rsidR="001D7AF9" w:rsidRDefault="002E1144">
            <w:r>
              <w:rPr>
                <w:color w:val="000000"/>
                <w:sz w:val="19"/>
                <w:szCs w:val="19"/>
              </w:rPr>
              <w:t>Text</w:t>
            </w:r>
          </w:p>
        </w:tc>
        <w:tc>
          <w:tcPr>
            <w:tcW w:w="4800" w:type="dxa"/>
            <w:tcMar>
              <w:top w:w="80" w:type="dxa"/>
              <w:left w:w="100" w:type="dxa"/>
              <w:bottom w:w="80" w:type="dxa"/>
              <w:right w:w="100" w:type="dxa"/>
            </w:tcMar>
            <w:vAlign w:val="center"/>
          </w:tcPr>
          <w:p w14:paraId="6B3839B0" w14:textId="77777777" w:rsidR="001D7AF9" w:rsidRDefault="002E1144">
            <w:r>
              <w:rPr>
                <w:color w:val="000000"/>
                <w:sz w:val="19"/>
                <w:szCs w:val="19"/>
              </w:rPr>
              <w:t>Ein frei wählbarer Name, z. B. „Kinder zuhause“ oder „Frühpensionierung“.</w:t>
            </w:r>
          </w:p>
        </w:tc>
      </w:tr>
      <w:tr w:rsidR="001D7AF9" w14:paraId="1E6B407B" w14:textId="77777777">
        <w:tblPrEx>
          <w:tblCellMar>
            <w:top w:w="0" w:type="dxa"/>
            <w:bottom w:w="0" w:type="dxa"/>
          </w:tblCellMar>
        </w:tblPrEx>
        <w:tc>
          <w:tcPr>
            <w:tcW w:w="2200" w:type="dxa"/>
            <w:shd w:val="clear" w:color="auto" w:fill="F2F2F2"/>
            <w:tcMar>
              <w:top w:w="80" w:type="dxa"/>
              <w:left w:w="100" w:type="dxa"/>
              <w:bottom w:w="80" w:type="dxa"/>
              <w:right w:w="100" w:type="dxa"/>
            </w:tcMar>
            <w:vAlign w:val="center"/>
          </w:tcPr>
          <w:p w14:paraId="06F12DD0" w14:textId="77777777" w:rsidR="001D7AF9" w:rsidRDefault="002E1144">
            <w:r>
              <w:rPr>
                <w:color w:val="000000"/>
                <w:sz w:val="19"/>
                <w:szCs w:val="19"/>
              </w:rPr>
              <w:t>phase.duration_years</w:t>
            </w:r>
          </w:p>
        </w:tc>
        <w:tc>
          <w:tcPr>
            <w:tcW w:w="3000" w:type="dxa"/>
            <w:shd w:val="clear" w:color="auto" w:fill="F2F2F2"/>
            <w:tcMar>
              <w:top w:w="80" w:type="dxa"/>
              <w:left w:w="100" w:type="dxa"/>
              <w:bottom w:w="80" w:type="dxa"/>
              <w:right w:w="100" w:type="dxa"/>
            </w:tcMar>
            <w:vAlign w:val="center"/>
          </w:tcPr>
          <w:p w14:paraId="6D774898" w14:textId="77777777" w:rsidR="001D7AF9" w:rsidRDefault="002E1144">
            <w:r>
              <w:rPr>
                <w:color w:val="000000"/>
                <w:sz w:val="19"/>
                <w:szCs w:val="19"/>
              </w:rPr>
              <w:t>Dauer (Jahre)</w:t>
            </w:r>
          </w:p>
        </w:tc>
        <w:tc>
          <w:tcPr>
            <w:tcW w:w="1400" w:type="dxa"/>
            <w:shd w:val="clear" w:color="auto" w:fill="F2F2F2"/>
            <w:tcMar>
              <w:top w:w="80" w:type="dxa"/>
              <w:left w:w="100" w:type="dxa"/>
              <w:bottom w:w="80" w:type="dxa"/>
              <w:right w:w="100" w:type="dxa"/>
            </w:tcMar>
            <w:vAlign w:val="center"/>
          </w:tcPr>
          <w:p w14:paraId="1428ECBA" w14:textId="77777777" w:rsidR="001D7AF9" w:rsidRDefault="002E1144">
            <w:r>
              <w:rPr>
                <w:color w:val="000000"/>
                <w:sz w:val="19"/>
                <w:szCs w:val="19"/>
              </w:rPr>
              <w:t>Zahl</w:t>
            </w:r>
          </w:p>
        </w:tc>
        <w:tc>
          <w:tcPr>
            <w:tcW w:w="4800" w:type="dxa"/>
            <w:shd w:val="clear" w:color="auto" w:fill="F2F2F2"/>
            <w:tcMar>
              <w:top w:w="80" w:type="dxa"/>
              <w:left w:w="100" w:type="dxa"/>
              <w:bottom w:w="80" w:type="dxa"/>
              <w:right w:w="100" w:type="dxa"/>
            </w:tcMar>
            <w:vAlign w:val="center"/>
          </w:tcPr>
          <w:p w14:paraId="010E58A4" w14:textId="77777777" w:rsidR="001D7AF9" w:rsidRDefault="002E1144">
            <w:r>
              <w:rPr>
                <w:color w:val="000000"/>
                <w:sz w:val="19"/>
                <w:szCs w:val="19"/>
              </w:rPr>
              <w:t>Wie viele Jahre umfasst diese Lebensphase?</w:t>
            </w:r>
          </w:p>
        </w:tc>
      </w:tr>
      <w:tr w:rsidR="001D7AF9" w14:paraId="4C521B3F" w14:textId="77777777">
        <w:tblPrEx>
          <w:tblCellMar>
            <w:top w:w="0" w:type="dxa"/>
            <w:bottom w:w="0" w:type="dxa"/>
          </w:tblCellMar>
        </w:tblPrEx>
        <w:tc>
          <w:tcPr>
            <w:tcW w:w="2200" w:type="dxa"/>
            <w:tcMar>
              <w:top w:w="80" w:type="dxa"/>
              <w:left w:w="100" w:type="dxa"/>
              <w:bottom w:w="80" w:type="dxa"/>
              <w:right w:w="100" w:type="dxa"/>
            </w:tcMar>
            <w:vAlign w:val="center"/>
          </w:tcPr>
          <w:p w14:paraId="13956B4E" w14:textId="77777777" w:rsidR="001D7AF9" w:rsidRDefault="002E1144">
            <w:r>
              <w:rPr>
                <w:color w:val="000000"/>
                <w:sz w:val="19"/>
                <w:szCs w:val="19"/>
              </w:rPr>
              <w:t>phase.inflation_rate</w:t>
            </w:r>
          </w:p>
        </w:tc>
        <w:tc>
          <w:tcPr>
            <w:tcW w:w="3000" w:type="dxa"/>
            <w:tcMar>
              <w:top w:w="80" w:type="dxa"/>
              <w:left w:w="100" w:type="dxa"/>
              <w:bottom w:w="80" w:type="dxa"/>
              <w:right w:w="100" w:type="dxa"/>
            </w:tcMar>
            <w:vAlign w:val="center"/>
          </w:tcPr>
          <w:p w14:paraId="66424C4A" w14:textId="77777777" w:rsidR="001D7AF9" w:rsidRDefault="002E1144">
            <w:r>
              <w:rPr>
                <w:color w:val="000000"/>
                <w:sz w:val="19"/>
                <w:szCs w:val="19"/>
              </w:rPr>
              <w:t>Inflationsrate dieser Phase (%)</w:t>
            </w:r>
          </w:p>
        </w:tc>
        <w:tc>
          <w:tcPr>
            <w:tcW w:w="1400" w:type="dxa"/>
            <w:tcMar>
              <w:top w:w="80" w:type="dxa"/>
              <w:left w:w="100" w:type="dxa"/>
              <w:bottom w:w="80" w:type="dxa"/>
              <w:right w:w="100" w:type="dxa"/>
            </w:tcMar>
            <w:vAlign w:val="center"/>
          </w:tcPr>
          <w:p w14:paraId="187596E1" w14:textId="77777777" w:rsidR="001D7AF9" w:rsidRDefault="002E1144">
            <w:r>
              <w:rPr>
                <w:color w:val="000000"/>
                <w:sz w:val="19"/>
                <w:szCs w:val="19"/>
              </w:rPr>
              <w:t>Prozent</w:t>
            </w:r>
          </w:p>
        </w:tc>
        <w:tc>
          <w:tcPr>
            <w:tcW w:w="4800" w:type="dxa"/>
            <w:tcMar>
              <w:top w:w="80" w:type="dxa"/>
              <w:left w:w="100" w:type="dxa"/>
              <w:bottom w:w="80" w:type="dxa"/>
              <w:right w:w="100" w:type="dxa"/>
            </w:tcMar>
            <w:vAlign w:val="center"/>
          </w:tcPr>
          <w:p w14:paraId="7229E564" w14:textId="77777777" w:rsidR="001D7AF9" w:rsidRDefault="002E1144">
            <w:r>
              <w:rPr>
                <w:color w:val="000000"/>
                <w:sz w:val="19"/>
                <w:szCs w:val="19"/>
              </w:rPr>
              <w:t>Überschreibt für diese Phase die im Grundprofil hinterlegte Standardannahme.</w:t>
            </w:r>
          </w:p>
        </w:tc>
      </w:tr>
      <w:tr w:rsidR="001D7AF9" w14:paraId="5E7BEDFA" w14:textId="77777777">
        <w:tblPrEx>
          <w:tblCellMar>
            <w:top w:w="0" w:type="dxa"/>
            <w:bottom w:w="0" w:type="dxa"/>
          </w:tblCellMar>
        </w:tblPrEx>
        <w:tc>
          <w:tcPr>
            <w:tcW w:w="2200" w:type="dxa"/>
            <w:shd w:val="clear" w:color="auto" w:fill="F2F2F2"/>
            <w:tcMar>
              <w:top w:w="80" w:type="dxa"/>
              <w:left w:w="100" w:type="dxa"/>
              <w:bottom w:w="80" w:type="dxa"/>
              <w:right w:w="100" w:type="dxa"/>
            </w:tcMar>
            <w:vAlign w:val="center"/>
          </w:tcPr>
          <w:p w14:paraId="04EC2BB6" w14:textId="77777777" w:rsidR="001D7AF9" w:rsidRDefault="002E1144">
            <w:r>
              <w:rPr>
                <w:color w:val="000000"/>
                <w:sz w:val="19"/>
                <w:szCs w:val="19"/>
              </w:rPr>
              <w:t>phase.income_mode</w:t>
            </w:r>
          </w:p>
        </w:tc>
        <w:tc>
          <w:tcPr>
            <w:tcW w:w="3000" w:type="dxa"/>
            <w:shd w:val="clear" w:color="auto" w:fill="F2F2F2"/>
            <w:tcMar>
              <w:top w:w="80" w:type="dxa"/>
              <w:left w:w="100" w:type="dxa"/>
              <w:bottom w:w="80" w:type="dxa"/>
              <w:right w:w="100" w:type="dxa"/>
            </w:tcMar>
            <w:vAlign w:val="center"/>
          </w:tcPr>
          <w:p w14:paraId="7355A733" w14:textId="77777777" w:rsidR="001D7AF9" w:rsidRDefault="002E1144">
            <w:r>
              <w:rPr>
                <w:color w:val="000000"/>
                <w:sz w:val="19"/>
                <w:szCs w:val="19"/>
              </w:rPr>
              <w:t>Einkommen eingeben als</w:t>
            </w:r>
          </w:p>
        </w:tc>
        <w:tc>
          <w:tcPr>
            <w:tcW w:w="1400" w:type="dxa"/>
            <w:shd w:val="clear" w:color="auto" w:fill="F2F2F2"/>
            <w:tcMar>
              <w:top w:w="80" w:type="dxa"/>
              <w:left w:w="100" w:type="dxa"/>
              <w:bottom w:w="80" w:type="dxa"/>
              <w:right w:w="100" w:type="dxa"/>
            </w:tcMar>
            <w:vAlign w:val="center"/>
          </w:tcPr>
          <w:p w14:paraId="37FC57AC" w14:textId="77777777" w:rsidR="001D7AF9" w:rsidRDefault="002E1144">
            <w:r>
              <w:rPr>
                <w:color w:val="000000"/>
                <w:sz w:val="19"/>
                <w:szCs w:val="19"/>
              </w:rPr>
              <w:t>Auswahl</w:t>
            </w:r>
          </w:p>
        </w:tc>
        <w:tc>
          <w:tcPr>
            <w:tcW w:w="4800" w:type="dxa"/>
            <w:shd w:val="clear" w:color="auto" w:fill="F2F2F2"/>
            <w:tcMar>
              <w:top w:w="80" w:type="dxa"/>
              <w:left w:w="100" w:type="dxa"/>
              <w:bottom w:w="80" w:type="dxa"/>
              <w:right w:w="100" w:type="dxa"/>
            </w:tcMar>
            <w:vAlign w:val="center"/>
          </w:tcPr>
          <w:p w14:paraId="66BC3CF8" w14:textId="77777777" w:rsidR="001D7AF9" w:rsidRDefault="002E1144">
            <w:r>
              <w:rPr>
                <w:color w:val="000000"/>
                <w:sz w:val="19"/>
                <w:szCs w:val="19"/>
              </w:rPr>
              <w:t>Pro Person einzeln oder direkt als gemeinsamer Betrag für den Haushalt.</w:t>
            </w:r>
          </w:p>
        </w:tc>
      </w:tr>
    </w:tbl>
    <w:p w14:paraId="536581A3" w14:textId="77777777" w:rsidR="001D7AF9" w:rsidRDefault="002E1144">
      <w:pPr>
        <w:pStyle w:val="berschrift2"/>
        <w:spacing w:before="360" w:after="160"/>
      </w:pPr>
      <w:r>
        <w:rPr>
          <w:b/>
          <w:bCs/>
          <w:color w:val="1F3864"/>
        </w:rPr>
        <w:t>5.3 Einkommen &amp; Ausgaben</w:t>
      </w:r>
    </w:p>
    <w:tbl>
      <w:tblP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400"/>
        <w:gridCol w:w="1600"/>
        <w:gridCol w:w="3800"/>
      </w:tblGrid>
      <w:tr w:rsidR="001D7AF9" w14:paraId="33CEEE6A" w14:textId="77777777">
        <w:tblPrEx>
          <w:tblCellMar>
            <w:top w:w="0" w:type="dxa"/>
            <w:bottom w:w="0" w:type="dxa"/>
          </w:tblCellMar>
        </w:tblPrEx>
        <w:trPr>
          <w:tblHeader/>
        </w:trPr>
        <w:tc>
          <w:tcPr>
            <w:tcW w:w="2600" w:type="dxa"/>
            <w:shd w:val="clear" w:color="auto" w:fill="1F3864"/>
            <w:tcMar>
              <w:top w:w="80" w:type="dxa"/>
              <w:left w:w="100" w:type="dxa"/>
              <w:bottom w:w="80" w:type="dxa"/>
              <w:right w:w="100" w:type="dxa"/>
            </w:tcMar>
            <w:vAlign w:val="center"/>
          </w:tcPr>
          <w:p w14:paraId="782B20AE" w14:textId="77777777" w:rsidR="001D7AF9" w:rsidRDefault="002E1144">
            <w:r>
              <w:rPr>
                <w:b/>
                <w:bCs/>
                <w:color w:val="FFFFFF"/>
                <w:sz w:val="19"/>
                <w:szCs w:val="19"/>
              </w:rPr>
              <w:lastRenderedPageBreak/>
              <w:t>Feld</w:t>
            </w:r>
          </w:p>
        </w:tc>
        <w:tc>
          <w:tcPr>
            <w:tcW w:w="3400" w:type="dxa"/>
            <w:shd w:val="clear" w:color="auto" w:fill="1F3864"/>
            <w:tcMar>
              <w:top w:w="80" w:type="dxa"/>
              <w:left w:w="100" w:type="dxa"/>
              <w:bottom w:w="80" w:type="dxa"/>
              <w:right w:w="100" w:type="dxa"/>
            </w:tcMar>
            <w:vAlign w:val="center"/>
          </w:tcPr>
          <w:p w14:paraId="2991A494" w14:textId="77777777" w:rsidR="001D7AF9" w:rsidRDefault="002E1144">
            <w:r>
              <w:rPr>
                <w:b/>
                <w:bCs/>
                <w:color w:val="FFFFFF"/>
                <w:sz w:val="19"/>
                <w:szCs w:val="19"/>
              </w:rPr>
              <w:t>Label (UI)</w:t>
            </w:r>
          </w:p>
        </w:tc>
        <w:tc>
          <w:tcPr>
            <w:tcW w:w="1600" w:type="dxa"/>
            <w:shd w:val="clear" w:color="auto" w:fill="1F3864"/>
            <w:tcMar>
              <w:top w:w="80" w:type="dxa"/>
              <w:left w:w="100" w:type="dxa"/>
              <w:bottom w:w="80" w:type="dxa"/>
              <w:right w:w="100" w:type="dxa"/>
            </w:tcMar>
            <w:vAlign w:val="center"/>
          </w:tcPr>
          <w:p w14:paraId="536394DC" w14:textId="77777777" w:rsidR="001D7AF9" w:rsidRDefault="002E1144">
            <w:r>
              <w:rPr>
                <w:b/>
                <w:bCs/>
                <w:color w:val="FFFFFF"/>
                <w:sz w:val="19"/>
                <w:szCs w:val="19"/>
              </w:rPr>
              <w:t>Typ</w:t>
            </w:r>
          </w:p>
        </w:tc>
        <w:tc>
          <w:tcPr>
            <w:tcW w:w="3800" w:type="dxa"/>
            <w:shd w:val="clear" w:color="auto" w:fill="1F3864"/>
            <w:tcMar>
              <w:top w:w="80" w:type="dxa"/>
              <w:left w:w="100" w:type="dxa"/>
              <w:bottom w:w="80" w:type="dxa"/>
              <w:right w:w="100" w:type="dxa"/>
            </w:tcMar>
            <w:vAlign w:val="center"/>
          </w:tcPr>
          <w:p w14:paraId="2E52A69F" w14:textId="77777777" w:rsidR="001D7AF9" w:rsidRDefault="002E1144">
            <w:r>
              <w:rPr>
                <w:b/>
                <w:bCs/>
                <w:color w:val="FFFFFF"/>
                <w:sz w:val="19"/>
                <w:szCs w:val="19"/>
              </w:rPr>
              <w:t>Hilfetext</w:t>
            </w:r>
          </w:p>
        </w:tc>
      </w:tr>
      <w:tr w:rsidR="001D7AF9" w14:paraId="2B1DFB0B" w14:textId="77777777">
        <w:tblPrEx>
          <w:tblCellMar>
            <w:top w:w="0" w:type="dxa"/>
            <w:bottom w:w="0" w:type="dxa"/>
          </w:tblCellMar>
        </w:tblPrEx>
        <w:tc>
          <w:tcPr>
            <w:tcW w:w="2600" w:type="dxa"/>
            <w:tcMar>
              <w:top w:w="80" w:type="dxa"/>
              <w:left w:w="100" w:type="dxa"/>
              <w:bottom w:w="80" w:type="dxa"/>
              <w:right w:w="100" w:type="dxa"/>
            </w:tcMar>
            <w:vAlign w:val="center"/>
          </w:tcPr>
          <w:p w14:paraId="249D2B61" w14:textId="77777777" w:rsidR="001D7AF9" w:rsidRDefault="002E1144">
            <w:r>
              <w:rPr>
                <w:color w:val="000000"/>
                <w:sz w:val="19"/>
                <w:szCs w:val="19"/>
              </w:rPr>
              <w:t>income.amount</w:t>
            </w:r>
          </w:p>
        </w:tc>
        <w:tc>
          <w:tcPr>
            <w:tcW w:w="3400" w:type="dxa"/>
            <w:tcMar>
              <w:top w:w="80" w:type="dxa"/>
              <w:left w:w="100" w:type="dxa"/>
              <w:bottom w:w="80" w:type="dxa"/>
              <w:right w:w="100" w:type="dxa"/>
            </w:tcMar>
            <w:vAlign w:val="center"/>
          </w:tcPr>
          <w:p w14:paraId="3C95FE08" w14:textId="77777777" w:rsidR="001D7AF9" w:rsidRDefault="002E1144">
            <w:r>
              <w:rPr>
                <w:color w:val="000000"/>
                <w:sz w:val="19"/>
                <w:szCs w:val="19"/>
              </w:rPr>
              <w:t>Geschätztes Jahreseinkommen (CHF)</w:t>
            </w:r>
          </w:p>
        </w:tc>
        <w:tc>
          <w:tcPr>
            <w:tcW w:w="1600" w:type="dxa"/>
            <w:tcMar>
              <w:top w:w="80" w:type="dxa"/>
              <w:left w:w="100" w:type="dxa"/>
              <w:bottom w:w="80" w:type="dxa"/>
              <w:right w:w="100" w:type="dxa"/>
            </w:tcMar>
            <w:vAlign w:val="center"/>
          </w:tcPr>
          <w:p w14:paraId="613F51EB" w14:textId="77777777" w:rsidR="001D7AF9" w:rsidRDefault="002E1144">
            <w:r>
              <w:rPr>
                <w:color w:val="000000"/>
                <w:sz w:val="19"/>
                <w:szCs w:val="19"/>
              </w:rPr>
              <w:t>Betrag</w:t>
            </w:r>
          </w:p>
        </w:tc>
        <w:tc>
          <w:tcPr>
            <w:tcW w:w="3800" w:type="dxa"/>
            <w:tcMar>
              <w:top w:w="80" w:type="dxa"/>
              <w:left w:w="100" w:type="dxa"/>
              <w:bottom w:w="80" w:type="dxa"/>
              <w:right w:w="100" w:type="dxa"/>
            </w:tcMar>
            <w:vAlign w:val="center"/>
          </w:tcPr>
          <w:p w14:paraId="55369C7B" w14:textId="77777777" w:rsidR="001D7AF9" w:rsidRDefault="002E1144">
            <w:r>
              <w:rPr>
                <w:color w:val="000000"/>
                <w:sz w:val="19"/>
                <w:szCs w:val="19"/>
              </w:rPr>
              <w:t>Ihr erwartetes Bruttoeinkommen pro Jahr während dieser Lebensphase.</w:t>
            </w:r>
          </w:p>
        </w:tc>
      </w:tr>
      <w:tr w:rsidR="001D7AF9" w14:paraId="1B7E79EC" w14:textId="77777777">
        <w:tblPrEx>
          <w:tblCellMar>
            <w:top w:w="0" w:type="dxa"/>
            <w:bottom w:w="0" w:type="dxa"/>
          </w:tblCellMar>
        </w:tblPrEx>
        <w:tc>
          <w:tcPr>
            <w:tcW w:w="2600" w:type="dxa"/>
            <w:shd w:val="clear" w:color="auto" w:fill="F2F2F2"/>
            <w:tcMar>
              <w:top w:w="80" w:type="dxa"/>
              <w:left w:w="100" w:type="dxa"/>
              <w:bottom w:w="80" w:type="dxa"/>
              <w:right w:w="100" w:type="dxa"/>
            </w:tcMar>
            <w:vAlign w:val="center"/>
          </w:tcPr>
          <w:p w14:paraId="38349F1A" w14:textId="77777777" w:rsidR="001D7AF9" w:rsidRDefault="002E1144">
            <w:r>
              <w:rPr>
                <w:color w:val="000000"/>
                <w:sz w:val="19"/>
                <w:szCs w:val="19"/>
              </w:rPr>
              <w:t>expense.amount</w:t>
            </w:r>
          </w:p>
        </w:tc>
        <w:tc>
          <w:tcPr>
            <w:tcW w:w="3400" w:type="dxa"/>
            <w:shd w:val="clear" w:color="auto" w:fill="F2F2F2"/>
            <w:tcMar>
              <w:top w:w="80" w:type="dxa"/>
              <w:left w:w="100" w:type="dxa"/>
              <w:bottom w:w="80" w:type="dxa"/>
              <w:right w:w="100" w:type="dxa"/>
            </w:tcMar>
            <w:vAlign w:val="center"/>
          </w:tcPr>
          <w:p w14:paraId="55C87492" w14:textId="77777777" w:rsidR="001D7AF9" w:rsidRDefault="002E1144">
            <w:r>
              <w:rPr>
                <w:color w:val="000000"/>
                <w:sz w:val="19"/>
                <w:szCs w:val="19"/>
              </w:rPr>
              <w:t>Geschätzte Gesamtausgaben (CHF/Jahr)</w:t>
            </w:r>
          </w:p>
        </w:tc>
        <w:tc>
          <w:tcPr>
            <w:tcW w:w="1600" w:type="dxa"/>
            <w:shd w:val="clear" w:color="auto" w:fill="F2F2F2"/>
            <w:tcMar>
              <w:top w:w="80" w:type="dxa"/>
              <w:left w:w="100" w:type="dxa"/>
              <w:bottom w:w="80" w:type="dxa"/>
              <w:right w:w="100" w:type="dxa"/>
            </w:tcMar>
            <w:vAlign w:val="center"/>
          </w:tcPr>
          <w:p w14:paraId="062CF3DD" w14:textId="77777777" w:rsidR="001D7AF9" w:rsidRDefault="002E1144">
            <w:r>
              <w:rPr>
                <w:color w:val="000000"/>
                <w:sz w:val="19"/>
                <w:szCs w:val="19"/>
              </w:rPr>
              <w:t>Betrag</w:t>
            </w:r>
          </w:p>
        </w:tc>
        <w:tc>
          <w:tcPr>
            <w:tcW w:w="3800" w:type="dxa"/>
            <w:shd w:val="clear" w:color="auto" w:fill="F2F2F2"/>
            <w:tcMar>
              <w:top w:w="80" w:type="dxa"/>
              <w:left w:w="100" w:type="dxa"/>
              <w:bottom w:w="80" w:type="dxa"/>
              <w:right w:w="100" w:type="dxa"/>
            </w:tcMar>
            <w:vAlign w:val="center"/>
          </w:tcPr>
          <w:p w14:paraId="05940B34" w14:textId="77777777" w:rsidR="001D7AF9" w:rsidRDefault="002E1144">
            <w:r>
              <w:rPr>
                <w:color w:val="000000"/>
                <w:sz w:val="19"/>
                <w:szCs w:val="19"/>
              </w:rPr>
              <w:t>Sämtliche laufenden Kosten des Haushalts pro Jahr – inkl. Lebenshaltung, Hypothekarzinsen, laufende Einkommens- und Vermögenssteuern. Keine separate Kategorisierung nötig.</w:t>
            </w:r>
          </w:p>
        </w:tc>
      </w:tr>
      <w:tr w:rsidR="001D7AF9" w14:paraId="470B0755" w14:textId="77777777">
        <w:tblPrEx>
          <w:tblCellMar>
            <w:top w:w="0" w:type="dxa"/>
            <w:bottom w:w="0" w:type="dxa"/>
          </w:tblCellMar>
        </w:tblPrEx>
        <w:tc>
          <w:tcPr>
            <w:tcW w:w="2600" w:type="dxa"/>
            <w:tcMar>
              <w:top w:w="80" w:type="dxa"/>
              <w:left w:w="100" w:type="dxa"/>
              <w:bottom w:w="80" w:type="dxa"/>
              <w:right w:w="100" w:type="dxa"/>
            </w:tcMar>
            <w:vAlign w:val="center"/>
          </w:tcPr>
          <w:p w14:paraId="5E1816C5" w14:textId="77777777" w:rsidR="001D7AF9" w:rsidRDefault="002E1144">
            <w:r>
              <w:rPr>
                <w:color w:val="000000"/>
                <w:sz w:val="19"/>
                <w:szCs w:val="19"/>
              </w:rPr>
              <w:t>phase.savings_rate (berechnet)</w:t>
            </w:r>
          </w:p>
        </w:tc>
        <w:tc>
          <w:tcPr>
            <w:tcW w:w="3400" w:type="dxa"/>
            <w:tcMar>
              <w:top w:w="80" w:type="dxa"/>
              <w:left w:w="100" w:type="dxa"/>
              <w:bottom w:w="80" w:type="dxa"/>
              <w:right w:w="100" w:type="dxa"/>
            </w:tcMar>
            <w:vAlign w:val="center"/>
          </w:tcPr>
          <w:p w14:paraId="5D2E5AB5" w14:textId="77777777" w:rsidR="001D7AF9" w:rsidRDefault="002E1144">
            <w:r>
              <w:rPr>
                <w:color w:val="000000"/>
                <w:sz w:val="19"/>
                <w:szCs w:val="19"/>
              </w:rPr>
              <w:t>Verfügbare Sparquote (CHF/Jahr)</w:t>
            </w:r>
          </w:p>
        </w:tc>
        <w:tc>
          <w:tcPr>
            <w:tcW w:w="1600" w:type="dxa"/>
            <w:tcMar>
              <w:top w:w="80" w:type="dxa"/>
              <w:left w:w="100" w:type="dxa"/>
              <w:bottom w:w="80" w:type="dxa"/>
              <w:right w:w="100" w:type="dxa"/>
            </w:tcMar>
            <w:vAlign w:val="center"/>
          </w:tcPr>
          <w:p w14:paraId="565AB51C" w14:textId="77777777" w:rsidR="001D7AF9" w:rsidRDefault="002E1144">
            <w:r>
              <w:rPr>
                <w:color w:val="000000"/>
                <w:sz w:val="19"/>
                <w:szCs w:val="19"/>
              </w:rPr>
              <w:t>berechnet, nicht editierbar</w:t>
            </w:r>
          </w:p>
        </w:tc>
        <w:tc>
          <w:tcPr>
            <w:tcW w:w="3800" w:type="dxa"/>
            <w:tcMar>
              <w:top w:w="80" w:type="dxa"/>
              <w:left w:w="100" w:type="dxa"/>
              <w:bottom w:w="80" w:type="dxa"/>
              <w:right w:w="100" w:type="dxa"/>
            </w:tcMar>
            <w:vAlign w:val="center"/>
          </w:tcPr>
          <w:p w14:paraId="70E2C777" w14:textId="77777777" w:rsidR="001D7AF9" w:rsidRDefault="002E1144">
            <w:r>
              <w:rPr>
                <w:color w:val="000000"/>
                <w:sz w:val="19"/>
                <w:szCs w:val="19"/>
              </w:rPr>
              <w:t>Automatisch berechnet: Gesamteinkommen minus Gesamtausgaben dieser Phase.</w:t>
            </w:r>
          </w:p>
        </w:tc>
      </w:tr>
    </w:tbl>
    <w:p w14:paraId="0D251F53" w14:textId="77777777" w:rsidR="001D7AF9" w:rsidRDefault="002E1144">
      <w:pPr>
        <w:pStyle w:val="berschrift2"/>
        <w:spacing w:before="360" w:after="160"/>
      </w:pPr>
      <w:r>
        <w:rPr>
          <w:b/>
          <w:bCs/>
          <w:color w:val="1F3864"/>
        </w:rPr>
        <w:t>5.4 Wertschriften</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00"/>
        <w:gridCol w:w="1400"/>
        <w:gridCol w:w="4200"/>
      </w:tblGrid>
      <w:tr w:rsidR="001D7AF9" w14:paraId="63C6EF57" w14:textId="77777777">
        <w:tblPrEx>
          <w:tblCellMar>
            <w:top w:w="0" w:type="dxa"/>
            <w:bottom w:w="0" w:type="dxa"/>
          </w:tblCellMar>
        </w:tblPrEx>
        <w:trPr>
          <w:tblHeader/>
        </w:trPr>
        <w:tc>
          <w:tcPr>
            <w:tcW w:w="2400" w:type="dxa"/>
            <w:shd w:val="clear" w:color="auto" w:fill="1F3864"/>
            <w:tcMar>
              <w:top w:w="80" w:type="dxa"/>
              <w:left w:w="100" w:type="dxa"/>
              <w:bottom w:w="80" w:type="dxa"/>
              <w:right w:w="100" w:type="dxa"/>
            </w:tcMar>
            <w:vAlign w:val="center"/>
          </w:tcPr>
          <w:p w14:paraId="642F65A7" w14:textId="77777777" w:rsidR="001D7AF9" w:rsidRDefault="002E1144">
            <w:r>
              <w:rPr>
                <w:b/>
                <w:bCs/>
                <w:color w:val="FFFFFF"/>
                <w:sz w:val="19"/>
                <w:szCs w:val="19"/>
              </w:rPr>
              <w:t>Feld</w:t>
            </w:r>
          </w:p>
        </w:tc>
        <w:tc>
          <w:tcPr>
            <w:tcW w:w="3000" w:type="dxa"/>
            <w:shd w:val="clear" w:color="auto" w:fill="1F3864"/>
            <w:tcMar>
              <w:top w:w="80" w:type="dxa"/>
              <w:left w:w="100" w:type="dxa"/>
              <w:bottom w:w="80" w:type="dxa"/>
              <w:right w:w="100" w:type="dxa"/>
            </w:tcMar>
            <w:vAlign w:val="center"/>
          </w:tcPr>
          <w:p w14:paraId="095BA1D8" w14:textId="77777777" w:rsidR="001D7AF9" w:rsidRDefault="002E1144">
            <w:r>
              <w:rPr>
                <w:b/>
                <w:bCs/>
                <w:color w:val="FFFFFF"/>
                <w:sz w:val="19"/>
                <w:szCs w:val="19"/>
              </w:rPr>
              <w:t>Label (UI)</w:t>
            </w:r>
          </w:p>
        </w:tc>
        <w:tc>
          <w:tcPr>
            <w:tcW w:w="1400" w:type="dxa"/>
            <w:shd w:val="clear" w:color="auto" w:fill="1F3864"/>
            <w:tcMar>
              <w:top w:w="80" w:type="dxa"/>
              <w:left w:w="100" w:type="dxa"/>
              <w:bottom w:w="80" w:type="dxa"/>
              <w:right w:w="100" w:type="dxa"/>
            </w:tcMar>
            <w:vAlign w:val="center"/>
          </w:tcPr>
          <w:p w14:paraId="1B5C9DB5" w14:textId="77777777" w:rsidR="001D7AF9" w:rsidRDefault="002E1144">
            <w:r>
              <w:rPr>
                <w:b/>
                <w:bCs/>
                <w:color w:val="FFFFFF"/>
                <w:sz w:val="19"/>
                <w:szCs w:val="19"/>
              </w:rPr>
              <w:t>Typ</w:t>
            </w:r>
          </w:p>
        </w:tc>
        <w:tc>
          <w:tcPr>
            <w:tcW w:w="4200" w:type="dxa"/>
            <w:shd w:val="clear" w:color="auto" w:fill="1F3864"/>
            <w:tcMar>
              <w:top w:w="80" w:type="dxa"/>
              <w:left w:w="100" w:type="dxa"/>
              <w:bottom w:w="80" w:type="dxa"/>
              <w:right w:w="100" w:type="dxa"/>
            </w:tcMar>
            <w:vAlign w:val="center"/>
          </w:tcPr>
          <w:p w14:paraId="4B1AF21C" w14:textId="77777777" w:rsidR="001D7AF9" w:rsidRDefault="002E1144">
            <w:r>
              <w:rPr>
                <w:b/>
                <w:bCs/>
                <w:color w:val="FFFFFF"/>
                <w:sz w:val="19"/>
                <w:szCs w:val="19"/>
              </w:rPr>
              <w:t>Hilfetext</w:t>
            </w:r>
          </w:p>
        </w:tc>
      </w:tr>
      <w:tr w:rsidR="001D7AF9" w14:paraId="26B4A743" w14:textId="77777777">
        <w:tblPrEx>
          <w:tblCellMar>
            <w:top w:w="0" w:type="dxa"/>
            <w:bottom w:w="0" w:type="dxa"/>
          </w:tblCellMar>
        </w:tblPrEx>
        <w:tc>
          <w:tcPr>
            <w:tcW w:w="2400" w:type="dxa"/>
            <w:tcMar>
              <w:top w:w="80" w:type="dxa"/>
              <w:left w:w="100" w:type="dxa"/>
              <w:bottom w:w="80" w:type="dxa"/>
              <w:right w:w="100" w:type="dxa"/>
            </w:tcMar>
            <w:vAlign w:val="center"/>
          </w:tcPr>
          <w:p w14:paraId="61D8CE45" w14:textId="77777777" w:rsidR="001D7AF9" w:rsidRDefault="002E1144">
            <w:r>
              <w:rPr>
                <w:color w:val="000000"/>
                <w:sz w:val="19"/>
                <w:szCs w:val="19"/>
              </w:rPr>
              <w:t>security.name</w:t>
            </w:r>
          </w:p>
        </w:tc>
        <w:tc>
          <w:tcPr>
            <w:tcW w:w="3000" w:type="dxa"/>
            <w:tcMar>
              <w:top w:w="80" w:type="dxa"/>
              <w:left w:w="100" w:type="dxa"/>
              <w:bottom w:w="80" w:type="dxa"/>
              <w:right w:w="100" w:type="dxa"/>
            </w:tcMar>
            <w:vAlign w:val="center"/>
          </w:tcPr>
          <w:p w14:paraId="556E1BF6" w14:textId="77777777" w:rsidR="001D7AF9" w:rsidRDefault="002E1144">
            <w:r>
              <w:rPr>
                <w:color w:val="000000"/>
                <w:sz w:val="19"/>
                <w:szCs w:val="19"/>
              </w:rPr>
              <w:t>Name der Wertschrift</w:t>
            </w:r>
          </w:p>
        </w:tc>
        <w:tc>
          <w:tcPr>
            <w:tcW w:w="1400" w:type="dxa"/>
            <w:tcMar>
              <w:top w:w="80" w:type="dxa"/>
              <w:left w:w="100" w:type="dxa"/>
              <w:bottom w:w="80" w:type="dxa"/>
              <w:right w:w="100" w:type="dxa"/>
            </w:tcMar>
            <w:vAlign w:val="center"/>
          </w:tcPr>
          <w:p w14:paraId="7C337F9C" w14:textId="77777777" w:rsidR="001D7AF9" w:rsidRDefault="002E1144">
            <w:r>
              <w:rPr>
                <w:color w:val="000000"/>
                <w:sz w:val="19"/>
                <w:szCs w:val="19"/>
              </w:rPr>
              <w:t>Text</w:t>
            </w:r>
          </w:p>
        </w:tc>
        <w:tc>
          <w:tcPr>
            <w:tcW w:w="4200" w:type="dxa"/>
            <w:tcMar>
              <w:top w:w="80" w:type="dxa"/>
              <w:left w:w="100" w:type="dxa"/>
              <w:bottom w:w="80" w:type="dxa"/>
              <w:right w:w="100" w:type="dxa"/>
            </w:tcMar>
            <w:vAlign w:val="center"/>
          </w:tcPr>
          <w:p w14:paraId="5EB37C4E" w14:textId="77777777" w:rsidR="001D7AF9" w:rsidRDefault="002E1144">
            <w:r>
              <w:rPr>
                <w:color w:val="000000"/>
                <w:sz w:val="19"/>
                <w:szCs w:val="19"/>
              </w:rPr>
              <w:t>Frei wählbare Bezeichnung, z. B. „Globaler ETF“ oder „Schweizer Aktien“.</w:t>
            </w:r>
          </w:p>
        </w:tc>
      </w:tr>
      <w:tr w:rsidR="001D7AF9" w14:paraId="39C4093A"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7B817088" w14:textId="77777777" w:rsidR="001D7AF9" w:rsidRDefault="002E1144">
            <w:r>
              <w:rPr>
                <w:color w:val="000000"/>
                <w:sz w:val="19"/>
                <w:szCs w:val="19"/>
              </w:rPr>
              <w:t>security.start_value</w:t>
            </w:r>
          </w:p>
        </w:tc>
        <w:tc>
          <w:tcPr>
            <w:tcW w:w="3000" w:type="dxa"/>
            <w:shd w:val="clear" w:color="auto" w:fill="F2F2F2"/>
            <w:tcMar>
              <w:top w:w="80" w:type="dxa"/>
              <w:left w:w="100" w:type="dxa"/>
              <w:bottom w:w="80" w:type="dxa"/>
              <w:right w:w="100" w:type="dxa"/>
            </w:tcMar>
            <w:vAlign w:val="center"/>
          </w:tcPr>
          <w:p w14:paraId="2FC6FE47" w14:textId="77777777" w:rsidR="001D7AF9" w:rsidRDefault="002E1144">
            <w:r>
              <w:rPr>
                <w:color w:val="000000"/>
                <w:sz w:val="19"/>
                <w:szCs w:val="19"/>
              </w:rPr>
              <w:t>Startwert (CHF)</w:t>
            </w:r>
          </w:p>
        </w:tc>
        <w:tc>
          <w:tcPr>
            <w:tcW w:w="1400" w:type="dxa"/>
            <w:shd w:val="clear" w:color="auto" w:fill="F2F2F2"/>
            <w:tcMar>
              <w:top w:w="80" w:type="dxa"/>
              <w:left w:w="100" w:type="dxa"/>
              <w:bottom w:w="80" w:type="dxa"/>
              <w:right w:w="100" w:type="dxa"/>
            </w:tcMar>
            <w:vAlign w:val="center"/>
          </w:tcPr>
          <w:p w14:paraId="0015C0CA" w14:textId="77777777" w:rsidR="001D7AF9" w:rsidRDefault="002E1144">
            <w:r>
              <w:rPr>
                <w:color w:val="000000"/>
                <w:sz w:val="19"/>
                <w:szCs w:val="19"/>
              </w:rPr>
              <w:t>Betrag</w:t>
            </w:r>
          </w:p>
        </w:tc>
        <w:tc>
          <w:tcPr>
            <w:tcW w:w="4200" w:type="dxa"/>
            <w:shd w:val="clear" w:color="auto" w:fill="F2F2F2"/>
            <w:tcMar>
              <w:top w:w="80" w:type="dxa"/>
              <w:left w:w="100" w:type="dxa"/>
              <w:bottom w:w="80" w:type="dxa"/>
              <w:right w:w="100" w:type="dxa"/>
            </w:tcMar>
            <w:vAlign w:val="center"/>
          </w:tcPr>
          <w:p w14:paraId="5D91B470" w14:textId="77777777" w:rsidR="001D7AF9" w:rsidRDefault="002E1144">
            <w:r>
              <w:rPr>
                <w:color w:val="000000"/>
                <w:sz w:val="19"/>
                <w:szCs w:val="19"/>
              </w:rPr>
              <w:t>Wert dieser Position zu Beginn der Phase.</w:t>
            </w:r>
          </w:p>
        </w:tc>
      </w:tr>
      <w:tr w:rsidR="001D7AF9" w14:paraId="68236983" w14:textId="77777777">
        <w:tblPrEx>
          <w:tblCellMar>
            <w:top w:w="0" w:type="dxa"/>
            <w:bottom w:w="0" w:type="dxa"/>
          </w:tblCellMar>
        </w:tblPrEx>
        <w:tc>
          <w:tcPr>
            <w:tcW w:w="2400" w:type="dxa"/>
            <w:tcMar>
              <w:top w:w="80" w:type="dxa"/>
              <w:left w:w="100" w:type="dxa"/>
              <w:bottom w:w="80" w:type="dxa"/>
              <w:right w:w="100" w:type="dxa"/>
            </w:tcMar>
            <w:vAlign w:val="center"/>
          </w:tcPr>
          <w:p w14:paraId="30A2C3B3" w14:textId="77777777" w:rsidR="001D7AF9" w:rsidRDefault="002E1144">
            <w:r>
              <w:rPr>
                <w:color w:val="000000"/>
                <w:sz w:val="19"/>
                <w:szCs w:val="19"/>
              </w:rPr>
              <w:t>security.expected_return</w:t>
            </w:r>
          </w:p>
        </w:tc>
        <w:tc>
          <w:tcPr>
            <w:tcW w:w="3000" w:type="dxa"/>
            <w:tcMar>
              <w:top w:w="80" w:type="dxa"/>
              <w:left w:w="100" w:type="dxa"/>
              <w:bottom w:w="80" w:type="dxa"/>
              <w:right w:w="100" w:type="dxa"/>
            </w:tcMar>
            <w:vAlign w:val="center"/>
          </w:tcPr>
          <w:p w14:paraId="6F3A6465" w14:textId="77777777" w:rsidR="001D7AF9" w:rsidRDefault="002E1144">
            <w:r>
              <w:rPr>
                <w:color w:val="000000"/>
                <w:sz w:val="19"/>
                <w:szCs w:val="19"/>
              </w:rPr>
              <w:t>Erwartete jährliche Rendite (%)</w:t>
            </w:r>
          </w:p>
        </w:tc>
        <w:tc>
          <w:tcPr>
            <w:tcW w:w="1400" w:type="dxa"/>
            <w:tcMar>
              <w:top w:w="80" w:type="dxa"/>
              <w:left w:w="100" w:type="dxa"/>
              <w:bottom w:w="80" w:type="dxa"/>
              <w:right w:w="100" w:type="dxa"/>
            </w:tcMar>
            <w:vAlign w:val="center"/>
          </w:tcPr>
          <w:p w14:paraId="2E2A63A3" w14:textId="77777777" w:rsidR="001D7AF9" w:rsidRDefault="002E1144">
            <w:r>
              <w:rPr>
                <w:color w:val="000000"/>
                <w:sz w:val="19"/>
                <w:szCs w:val="19"/>
              </w:rPr>
              <w:t>Prozent</w:t>
            </w:r>
          </w:p>
        </w:tc>
        <w:tc>
          <w:tcPr>
            <w:tcW w:w="4200" w:type="dxa"/>
            <w:tcMar>
              <w:top w:w="80" w:type="dxa"/>
              <w:left w:w="100" w:type="dxa"/>
              <w:bottom w:w="80" w:type="dxa"/>
              <w:right w:w="100" w:type="dxa"/>
            </w:tcMar>
            <w:vAlign w:val="center"/>
          </w:tcPr>
          <w:p w14:paraId="2B3D4240" w14:textId="77777777" w:rsidR="001D7AF9" w:rsidRDefault="002E1144">
            <w:r>
              <w:rPr>
                <w:color w:val="000000"/>
                <w:sz w:val="19"/>
                <w:szCs w:val="19"/>
              </w:rPr>
              <w:t>Ihre Annahme zur durchschnittlichen jährlichen Wertentwicklung dieser Anlage.</w:t>
            </w:r>
          </w:p>
        </w:tc>
      </w:tr>
      <w:tr w:rsidR="001D7AF9" w14:paraId="79098042"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3193C5BF" w14:textId="77777777" w:rsidR="001D7AF9" w:rsidRDefault="002E1144">
            <w:r>
              <w:rPr>
                <w:color w:val="000000"/>
                <w:sz w:val="19"/>
                <w:szCs w:val="19"/>
              </w:rPr>
              <w:t>security.owner_tag</w:t>
            </w:r>
          </w:p>
        </w:tc>
        <w:tc>
          <w:tcPr>
            <w:tcW w:w="3000" w:type="dxa"/>
            <w:shd w:val="clear" w:color="auto" w:fill="F2F2F2"/>
            <w:tcMar>
              <w:top w:w="80" w:type="dxa"/>
              <w:left w:w="100" w:type="dxa"/>
              <w:bottom w:w="80" w:type="dxa"/>
              <w:right w:w="100" w:type="dxa"/>
            </w:tcMar>
            <w:vAlign w:val="center"/>
          </w:tcPr>
          <w:p w14:paraId="0D15ED3B" w14:textId="77777777" w:rsidR="001D7AF9" w:rsidRDefault="002E1144">
            <w:r>
              <w:rPr>
                <w:color w:val="000000"/>
                <w:sz w:val="19"/>
                <w:szCs w:val="19"/>
              </w:rPr>
              <w:t>Gehört zu</w:t>
            </w:r>
          </w:p>
        </w:tc>
        <w:tc>
          <w:tcPr>
            <w:tcW w:w="1400" w:type="dxa"/>
            <w:shd w:val="clear" w:color="auto" w:fill="F2F2F2"/>
            <w:tcMar>
              <w:top w:w="80" w:type="dxa"/>
              <w:left w:w="100" w:type="dxa"/>
              <w:bottom w:w="80" w:type="dxa"/>
              <w:right w:w="100" w:type="dxa"/>
            </w:tcMar>
            <w:vAlign w:val="center"/>
          </w:tcPr>
          <w:p w14:paraId="1D3AB6CB" w14:textId="77777777" w:rsidR="001D7AF9" w:rsidRDefault="002E1144">
            <w:r>
              <w:rPr>
                <w:color w:val="000000"/>
                <w:sz w:val="19"/>
                <w:szCs w:val="19"/>
              </w:rPr>
              <w:t>Auswahl</w:t>
            </w:r>
          </w:p>
        </w:tc>
        <w:tc>
          <w:tcPr>
            <w:tcW w:w="4200" w:type="dxa"/>
            <w:shd w:val="clear" w:color="auto" w:fill="F2F2F2"/>
            <w:tcMar>
              <w:top w:w="80" w:type="dxa"/>
              <w:left w:w="100" w:type="dxa"/>
              <w:bottom w:w="80" w:type="dxa"/>
              <w:right w:w="100" w:type="dxa"/>
            </w:tcMar>
            <w:vAlign w:val="center"/>
          </w:tcPr>
          <w:p w14:paraId="708352B9" w14:textId="77777777" w:rsidR="001D7AF9" w:rsidRDefault="002E1144">
            <w:r>
              <w:rPr>
                <w:color w:val="000000"/>
                <w:sz w:val="19"/>
                <w:szCs w:val="19"/>
              </w:rPr>
              <w:t>Rein informativ: Person A, Person B oder gemeinsam. Hat keinen Einfluss auf die Berechnung – die Finanzplanung erfolgt immer auf Haushaltsebene.</w:t>
            </w:r>
          </w:p>
        </w:tc>
      </w:tr>
      <w:tr w:rsidR="001D7AF9" w14:paraId="7976509A" w14:textId="77777777">
        <w:tblPrEx>
          <w:tblCellMar>
            <w:top w:w="0" w:type="dxa"/>
            <w:bottom w:w="0" w:type="dxa"/>
          </w:tblCellMar>
        </w:tblPrEx>
        <w:tc>
          <w:tcPr>
            <w:tcW w:w="2400" w:type="dxa"/>
            <w:tcMar>
              <w:top w:w="80" w:type="dxa"/>
              <w:left w:w="100" w:type="dxa"/>
              <w:bottom w:w="80" w:type="dxa"/>
              <w:right w:w="100" w:type="dxa"/>
            </w:tcMar>
            <w:vAlign w:val="center"/>
          </w:tcPr>
          <w:p w14:paraId="7C8A6A52" w14:textId="77777777" w:rsidR="001D7AF9" w:rsidRDefault="002E1144">
            <w:r>
              <w:rPr>
                <w:color w:val="000000"/>
                <w:sz w:val="19"/>
                <w:szCs w:val="19"/>
              </w:rPr>
              <w:t>savings_allocation.amount</w:t>
            </w:r>
          </w:p>
        </w:tc>
        <w:tc>
          <w:tcPr>
            <w:tcW w:w="3000" w:type="dxa"/>
            <w:tcMar>
              <w:top w:w="80" w:type="dxa"/>
              <w:left w:w="100" w:type="dxa"/>
              <w:bottom w:w="80" w:type="dxa"/>
              <w:right w:w="100" w:type="dxa"/>
            </w:tcMar>
            <w:vAlign w:val="center"/>
          </w:tcPr>
          <w:p w14:paraId="651DBFDA" w14:textId="77777777" w:rsidR="001D7AF9" w:rsidRDefault="002E1144">
            <w:r>
              <w:rPr>
                <w:color w:val="000000"/>
                <w:sz w:val="19"/>
                <w:szCs w:val="19"/>
              </w:rPr>
              <w:t>Jährlicher Sparbeitrag (CHF)</w:t>
            </w:r>
          </w:p>
        </w:tc>
        <w:tc>
          <w:tcPr>
            <w:tcW w:w="1400" w:type="dxa"/>
            <w:tcMar>
              <w:top w:w="80" w:type="dxa"/>
              <w:left w:w="100" w:type="dxa"/>
              <w:bottom w:w="80" w:type="dxa"/>
              <w:right w:w="100" w:type="dxa"/>
            </w:tcMar>
            <w:vAlign w:val="center"/>
          </w:tcPr>
          <w:p w14:paraId="4155F5F9" w14:textId="77777777" w:rsidR="001D7AF9" w:rsidRDefault="002E1144">
            <w:r>
              <w:rPr>
                <w:color w:val="000000"/>
                <w:sz w:val="19"/>
                <w:szCs w:val="19"/>
              </w:rPr>
              <w:t>Betrag</w:t>
            </w:r>
          </w:p>
        </w:tc>
        <w:tc>
          <w:tcPr>
            <w:tcW w:w="4200" w:type="dxa"/>
            <w:tcMar>
              <w:top w:w="80" w:type="dxa"/>
              <w:left w:w="100" w:type="dxa"/>
              <w:bottom w:w="80" w:type="dxa"/>
              <w:right w:w="100" w:type="dxa"/>
            </w:tcMar>
            <w:vAlign w:val="center"/>
          </w:tcPr>
          <w:p w14:paraId="19CA1AE4" w14:textId="77777777" w:rsidR="001D7AF9" w:rsidRDefault="002E1144">
            <w:r>
              <w:rPr>
                <w:color w:val="000000"/>
                <w:sz w:val="19"/>
                <w:szCs w:val="19"/>
              </w:rPr>
              <w:t>Der Betrag aus Ihrer verfügbaren Sparquote, den Sie jährlich in diese Position investieren möchten.</w:t>
            </w:r>
          </w:p>
        </w:tc>
      </w:tr>
    </w:tbl>
    <w:p w14:paraId="4AFF117D" w14:textId="77777777" w:rsidR="001D7AF9" w:rsidRDefault="002E1144">
      <w:pPr>
        <w:pStyle w:val="berschrift2"/>
        <w:spacing w:before="360" w:after="160"/>
      </w:pPr>
      <w:r>
        <w:rPr>
          <w:b/>
          <w:bCs/>
          <w:color w:val="1F3864"/>
        </w:rPr>
        <w:t>5.5 Immobilien</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00"/>
        <w:gridCol w:w="1400"/>
        <w:gridCol w:w="4200"/>
      </w:tblGrid>
      <w:tr w:rsidR="001D7AF9" w14:paraId="03BAEF39" w14:textId="77777777">
        <w:tblPrEx>
          <w:tblCellMar>
            <w:top w:w="0" w:type="dxa"/>
            <w:bottom w:w="0" w:type="dxa"/>
          </w:tblCellMar>
        </w:tblPrEx>
        <w:trPr>
          <w:tblHeader/>
        </w:trPr>
        <w:tc>
          <w:tcPr>
            <w:tcW w:w="2400" w:type="dxa"/>
            <w:shd w:val="clear" w:color="auto" w:fill="1F3864"/>
            <w:tcMar>
              <w:top w:w="80" w:type="dxa"/>
              <w:left w:w="100" w:type="dxa"/>
              <w:bottom w:w="80" w:type="dxa"/>
              <w:right w:w="100" w:type="dxa"/>
            </w:tcMar>
            <w:vAlign w:val="center"/>
          </w:tcPr>
          <w:p w14:paraId="364ED7D4" w14:textId="77777777" w:rsidR="001D7AF9" w:rsidRDefault="002E1144">
            <w:r>
              <w:rPr>
                <w:b/>
                <w:bCs/>
                <w:color w:val="FFFFFF"/>
                <w:sz w:val="19"/>
                <w:szCs w:val="19"/>
              </w:rPr>
              <w:t>Feld</w:t>
            </w:r>
          </w:p>
        </w:tc>
        <w:tc>
          <w:tcPr>
            <w:tcW w:w="3000" w:type="dxa"/>
            <w:shd w:val="clear" w:color="auto" w:fill="1F3864"/>
            <w:tcMar>
              <w:top w:w="80" w:type="dxa"/>
              <w:left w:w="100" w:type="dxa"/>
              <w:bottom w:w="80" w:type="dxa"/>
              <w:right w:w="100" w:type="dxa"/>
            </w:tcMar>
            <w:vAlign w:val="center"/>
          </w:tcPr>
          <w:p w14:paraId="09BABDAE" w14:textId="77777777" w:rsidR="001D7AF9" w:rsidRDefault="002E1144">
            <w:r>
              <w:rPr>
                <w:b/>
                <w:bCs/>
                <w:color w:val="FFFFFF"/>
                <w:sz w:val="19"/>
                <w:szCs w:val="19"/>
              </w:rPr>
              <w:t>Label (UI)</w:t>
            </w:r>
          </w:p>
        </w:tc>
        <w:tc>
          <w:tcPr>
            <w:tcW w:w="1400" w:type="dxa"/>
            <w:shd w:val="clear" w:color="auto" w:fill="1F3864"/>
            <w:tcMar>
              <w:top w:w="80" w:type="dxa"/>
              <w:left w:w="100" w:type="dxa"/>
              <w:bottom w:w="80" w:type="dxa"/>
              <w:right w:w="100" w:type="dxa"/>
            </w:tcMar>
            <w:vAlign w:val="center"/>
          </w:tcPr>
          <w:p w14:paraId="5C0B71A2" w14:textId="77777777" w:rsidR="001D7AF9" w:rsidRDefault="002E1144">
            <w:r>
              <w:rPr>
                <w:b/>
                <w:bCs/>
                <w:color w:val="FFFFFF"/>
                <w:sz w:val="19"/>
                <w:szCs w:val="19"/>
              </w:rPr>
              <w:t>Typ</w:t>
            </w:r>
          </w:p>
        </w:tc>
        <w:tc>
          <w:tcPr>
            <w:tcW w:w="4200" w:type="dxa"/>
            <w:shd w:val="clear" w:color="auto" w:fill="1F3864"/>
            <w:tcMar>
              <w:top w:w="80" w:type="dxa"/>
              <w:left w:w="100" w:type="dxa"/>
              <w:bottom w:w="80" w:type="dxa"/>
              <w:right w:w="100" w:type="dxa"/>
            </w:tcMar>
            <w:vAlign w:val="center"/>
          </w:tcPr>
          <w:p w14:paraId="3E13413F" w14:textId="77777777" w:rsidR="001D7AF9" w:rsidRDefault="002E1144">
            <w:r>
              <w:rPr>
                <w:b/>
                <w:bCs/>
                <w:color w:val="FFFFFF"/>
                <w:sz w:val="19"/>
                <w:szCs w:val="19"/>
              </w:rPr>
              <w:t>Hilfetext</w:t>
            </w:r>
          </w:p>
        </w:tc>
      </w:tr>
      <w:tr w:rsidR="001D7AF9" w14:paraId="15EF36EC" w14:textId="77777777">
        <w:tblPrEx>
          <w:tblCellMar>
            <w:top w:w="0" w:type="dxa"/>
            <w:bottom w:w="0" w:type="dxa"/>
          </w:tblCellMar>
        </w:tblPrEx>
        <w:tc>
          <w:tcPr>
            <w:tcW w:w="2400" w:type="dxa"/>
            <w:tcMar>
              <w:top w:w="80" w:type="dxa"/>
              <w:left w:w="100" w:type="dxa"/>
              <w:bottom w:w="80" w:type="dxa"/>
              <w:right w:w="100" w:type="dxa"/>
            </w:tcMar>
            <w:vAlign w:val="center"/>
          </w:tcPr>
          <w:p w14:paraId="35780F4F" w14:textId="77777777" w:rsidR="001D7AF9" w:rsidRDefault="002E1144">
            <w:r>
              <w:rPr>
                <w:color w:val="000000"/>
                <w:sz w:val="19"/>
                <w:szCs w:val="19"/>
              </w:rPr>
              <w:t>realestate.name</w:t>
            </w:r>
          </w:p>
        </w:tc>
        <w:tc>
          <w:tcPr>
            <w:tcW w:w="3000" w:type="dxa"/>
            <w:tcMar>
              <w:top w:w="80" w:type="dxa"/>
              <w:left w:w="100" w:type="dxa"/>
              <w:bottom w:w="80" w:type="dxa"/>
              <w:right w:w="100" w:type="dxa"/>
            </w:tcMar>
            <w:vAlign w:val="center"/>
          </w:tcPr>
          <w:p w14:paraId="59F02CFA" w14:textId="77777777" w:rsidR="001D7AF9" w:rsidRDefault="002E1144">
            <w:r>
              <w:rPr>
                <w:color w:val="000000"/>
                <w:sz w:val="19"/>
                <w:szCs w:val="19"/>
              </w:rPr>
              <w:t>Bezeichnung</w:t>
            </w:r>
          </w:p>
        </w:tc>
        <w:tc>
          <w:tcPr>
            <w:tcW w:w="1400" w:type="dxa"/>
            <w:tcMar>
              <w:top w:w="80" w:type="dxa"/>
              <w:left w:w="100" w:type="dxa"/>
              <w:bottom w:w="80" w:type="dxa"/>
              <w:right w:w="100" w:type="dxa"/>
            </w:tcMar>
            <w:vAlign w:val="center"/>
          </w:tcPr>
          <w:p w14:paraId="6DFA6682" w14:textId="77777777" w:rsidR="001D7AF9" w:rsidRDefault="002E1144">
            <w:r>
              <w:rPr>
                <w:color w:val="000000"/>
                <w:sz w:val="19"/>
                <w:szCs w:val="19"/>
              </w:rPr>
              <w:t>Text</w:t>
            </w:r>
          </w:p>
        </w:tc>
        <w:tc>
          <w:tcPr>
            <w:tcW w:w="4200" w:type="dxa"/>
            <w:tcMar>
              <w:top w:w="80" w:type="dxa"/>
              <w:left w:w="100" w:type="dxa"/>
              <w:bottom w:w="80" w:type="dxa"/>
              <w:right w:w="100" w:type="dxa"/>
            </w:tcMar>
            <w:vAlign w:val="center"/>
          </w:tcPr>
          <w:p w14:paraId="3A3B7473" w14:textId="77777777" w:rsidR="001D7AF9" w:rsidRDefault="002E1144">
            <w:r>
              <w:rPr>
                <w:color w:val="000000"/>
                <w:sz w:val="19"/>
                <w:szCs w:val="19"/>
              </w:rPr>
              <w:t>Z. B. „Eigenheim“ oder „Ferienwohnung“.</w:t>
            </w:r>
          </w:p>
        </w:tc>
      </w:tr>
      <w:tr w:rsidR="001D7AF9" w14:paraId="7326EBA5"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151AB8BB" w14:textId="77777777" w:rsidR="001D7AF9" w:rsidRDefault="002E1144">
            <w:r>
              <w:rPr>
                <w:color w:val="000000"/>
                <w:sz w:val="19"/>
                <w:szCs w:val="19"/>
              </w:rPr>
              <w:t>realestate.market_value</w:t>
            </w:r>
          </w:p>
        </w:tc>
        <w:tc>
          <w:tcPr>
            <w:tcW w:w="3000" w:type="dxa"/>
            <w:shd w:val="clear" w:color="auto" w:fill="F2F2F2"/>
            <w:tcMar>
              <w:top w:w="80" w:type="dxa"/>
              <w:left w:w="100" w:type="dxa"/>
              <w:bottom w:w="80" w:type="dxa"/>
              <w:right w:w="100" w:type="dxa"/>
            </w:tcMar>
            <w:vAlign w:val="center"/>
          </w:tcPr>
          <w:p w14:paraId="3D2D8BDD" w14:textId="77777777" w:rsidR="001D7AF9" w:rsidRDefault="002E1144">
            <w:r>
              <w:rPr>
                <w:color w:val="000000"/>
                <w:sz w:val="19"/>
                <w:szCs w:val="19"/>
              </w:rPr>
              <w:t>Aktueller Marktwert (CHF)</w:t>
            </w:r>
          </w:p>
        </w:tc>
        <w:tc>
          <w:tcPr>
            <w:tcW w:w="1400" w:type="dxa"/>
            <w:shd w:val="clear" w:color="auto" w:fill="F2F2F2"/>
            <w:tcMar>
              <w:top w:w="80" w:type="dxa"/>
              <w:left w:w="100" w:type="dxa"/>
              <w:bottom w:w="80" w:type="dxa"/>
              <w:right w:w="100" w:type="dxa"/>
            </w:tcMar>
            <w:vAlign w:val="center"/>
          </w:tcPr>
          <w:p w14:paraId="175B8464" w14:textId="77777777" w:rsidR="001D7AF9" w:rsidRDefault="002E1144">
            <w:r>
              <w:rPr>
                <w:color w:val="000000"/>
                <w:sz w:val="19"/>
                <w:szCs w:val="19"/>
              </w:rPr>
              <w:t>Betrag</w:t>
            </w:r>
          </w:p>
        </w:tc>
        <w:tc>
          <w:tcPr>
            <w:tcW w:w="4200" w:type="dxa"/>
            <w:shd w:val="clear" w:color="auto" w:fill="F2F2F2"/>
            <w:tcMar>
              <w:top w:w="80" w:type="dxa"/>
              <w:left w:w="100" w:type="dxa"/>
              <w:bottom w:w="80" w:type="dxa"/>
              <w:right w:w="100" w:type="dxa"/>
            </w:tcMar>
            <w:vAlign w:val="center"/>
          </w:tcPr>
          <w:p w14:paraId="2CF2A168" w14:textId="77777777" w:rsidR="001D7AF9" w:rsidRDefault="002E1144">
            <w:r>
              <w:rPr>
                <w:color w:val="000000"/>
                <w:sz w:val="19"/>
                <w:szCs w:val="19"/>
              </w:rPr>
              <w:t>Geschätzter heutiger Verkehrswert der Liegenschaft.</w:t>
            </w:r>
          </w:p>
        </w:tc>
      </w:tr>
      <w:tr w:rsidR="001D7AF9" w14:paraId="1756B2A0" w14:textId="77777777">
        <w:tblPrEx>
          <w:tblCellMar>
            <w:top w:w="0" w:type="dxa"/>
            <w:bottom w:w="0" w:type="dxa"/>
          </w:tblCellMar>
        </w:tblPrEx>
        <w:tc>
          <w:tcPr>
            <w:tcW w:w="2400" w:type="dxa"/>
            <w:tcMar>
              <w:top w:w="80" w:type="dxa"/>
              <w:left w:w="100" w:type="dxa"/>
              <w:bottom w:w="80" w:type="dxa"/>
              <w:right w:w="100" w:type="dxa"/>
            </w:tcMar>
            <w:vAlign w:val="center"/>
          </w:tcPr>
          <w:p w14:paraId="372B031E" w14:textId="77777777" w:rsidR="001D7AF9" w:rsidRDefault="002E1144">
            <w:r>
              <w:rPr>
                <w:color w:val="000000"/>
                <w:sz w:val="19"/>
                <w:szCs w:val="19"/>
              </w:rPr>
              <w:t>realestate.mortgage</w:t>
            </w:r>
          </w:p>
        </w:tc>
        <w:tc>
          <w:tcPr>
            <w:tcW w:w="3000" w:type="dxa"/>
            <w:tcMar>
              <w:top w:w="80" w:type="dxa"/>
              <w:left w:w="100" w:type="dxa"/>
              <w:bottom w:w="80" w:type="dxa"/>
              <w:right w:w="100" w:type="dxa"/>
            </w:tcMar>
            <w:vAlign w:val="center"/>
          </w:tcPr>
          <w:p w14:paraId="08235837" w14:textId="77777777" w:rsidR="001D7AF9" w:rsidRDefault="002E1144">
            <w:r>
              <w:rPr>
                <w:color w:val="000000"/>
                <w:sz w:val="19"/>
                <w:szCs w:val="19"/>
              </w:rPr>
              <w:t>Aktuelle Hypothek (CHF)</w:t>
            </w:r>
          </w:p>
        </w:tc>
        <w:tc>
          <w:tcPr>
            <w:tcW w:w="1400" w:type="dxa"/>
            <w:tcMar>
              <w:top w:w="80" w:type="dxa"/>
              <w:left w:w="100" w:type="dxa"/>
              <w:bottom w:w="80" w:type="dxa"/>
              <w:right w:w="100" w:type="dxa"/>
            </w:tcMar>
            <w:vAlign w:val="center"/>
          </w:tcPr>
          <w:p w14:paraId="4EFBDFF1" w14:textId="77777777" w:rsidR="001D7AF9" w:rsidRDefault="002E1144">
            <w:r>
              <w:rPr>
                <w:color w:val="000000"/>
                <w:sz w:val="19"/>
                <w:szCs w:val="19"/>
              </w:rPr>
              <w:t>Betrag</w:t>
            </w:r>
          </w:p>
        </w:tc>
        <w:tc>
          <w:tcPr>
            <w:tcW w:w="4200" w:type="dxa"/>
            <w:tcMar>
              <w:top w:w="80" w:type="dxa"/>
              <w:left w:w="100" w:type="dxa"/>
              <w:bottom w:w="80" w:type="dxa"/>
              <w:right w:w="100" w:type="dxa"/>
            </w:tcMar>
            <w:vAlign w:val="center"/>
          </w:tcPr>
          <w:p w14:paraId="2FCAEF9A" w14:textId="77777777" w:rsidR="001D7AF9" w:rsidRDefault="002E1144">
            <w:r>
              <w:rPr>
                <w:color w:val="000000"/>
                <w:sz w:val="19"/>
                <w:szCs w:val="19"/>
              </w:rPr>
              <w:t>Ausstehender Hypothekarbetrag.</w:t>
            </w:r>
          </w:p>
        </w:tc>
      </w:tr>
      <w:tr w:rsidR="001D7AF9" w14:paraId="4C5EA5EB"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740F6922" w14:textId="77777777" w:rsidR="001D7AF9" w:rsidRDefault="002E1144">
            <w:r>
              <w:rPr>
                <w:color w:val="000000"/>
                <w:sz w:val="19"/>
                <w:szCs w:val="19"/>
              </w:rPr>
              <w:t>realestate.value_growth</w:t>
            </w:r>
          </w:p>
        </w:tc>
        <w:tc>
          <w:tcPr>
            <w:tcW w:w="3000" w:type="dxa"/>
            <w:shd w:val="clear" w:color="auto" w:fill="F2F2F2"/>
            <w:tcMar>
              <w:top w:w="80" w:type="dxa"/>
              <w:left w:w="100" w:type="dxa"/>
              <w:bottom w:w="80" w:type="dxa"/>
              <w:right w:w="100" w:type="dxa"/>
            </w:tcMar>
            <w:vAlign w:val="center"/>
          </w:tcPr>
          <w:p w14:paraId="0E41225C" w14:textId="77777777" w:rsidR="001D7AF9" w:rsidRDefault="002E1144">
            <w:r>
              <w:rPr>
                <w:color w:val="000000"/>
                <w:sz w:val="19"/>
                <w:szCs w:val="19"/>
              </w:rPr>
              <w:t>Erwartete jährliche Wertsteigerung (%)</w:t>
            </w:r>
          </w:p>
        </w:tc>
        <w:tc>
          <w:tcPr>
            <w:tcW w:w="1400" w:type="dxa"/>
            <w:shd w:val="clear" w:color="auto" w:fill="F2F2F2"/>
            <w:tcMar>
              <w:top w:w="80" w:type="dxa"/>
              <w:left w:w="100" w:type="dxa"/>
              <w:bottom w:w="80" w:type="dxa"/>
              <w:right w:w="100" w:type="dxa"/>
            </w:tcMar>
            <w:vAlign w:val="center"/>
          </w:tcPr>
          <w:p w14:paraId="73CFD133" w14:textId="77777777" w:rsidR="001D7AF9" w:rsidRDefault="002E1144">
            <w:r>
              <w:rPr>
                <w:color w:val="000000"/>
                <w:sz w:val="19"/>
                <w:szCs w:val="19"/>
              </w:rPr>
              <w:t>Prozent</w:t>
            </w:r>
          </w:p>
        </w:tc>
        <w:tc>
          <w:tcPr>
            <w:tcW w:w="4200" w:type="dxa"/>
            <w:shd w:val="clear" w:color="auto" w:fill="F2F2F2"/>
            <w:tcMar>
              <w:top w:w="80" w:type="dxa"/>
              <w:left w:w="100" w:type="dxa"/>
              <w:bottom w:w="80" w:type="dxa"/>
              <w:right w:w="100" w:type="dxa"/>
            </w:tcMar>
            <w:vAlign w:val="center"/>
          </w:tcPr>
          <w:p w14:paraId="0699910F" w14:textId="77777777" w:rsidR="001D7AF9" w:rsidRDefault="002E1144">
            <w:r>
              <w:rPr>
                <w:color w:val="000000"/>
                <w:sz w:val="19"/>
                <w:szCs w:val="19"/>
              </w:rPr>
              <w:t>Ihre Annahme zur Wertentwicklung der Immobilie pro Jahr.</w:t>
            </w:r>
          </w:p>
        </w:tc>
      </w:tr>
      <w:tr w:rsidR="001D7AF9" w14:paraId="0E72F7EF" w14:textId="77777777">
        <w:tblPrEx>
          <w:tblCellMar>
            <w:top w:w="0" w:type="dxa"/>
            <w:bottom w:w="0" w:type="dxa"/>
          </w:tblCellMar>
        </w:tblPrEx>
        <w:tc>
          <w:tcPr>
            <w:tcW w:w="2400" w:type="dxa"/>
            <w:tcMar>
              <w:top w:w="80" w:type="dxa"/>
              <w:left w:w="100" w:type="dxa"/>
              <w:bottom w:w="80" w:type="dxa"/>
              <w:right w:w="100" w:type="dxa"/>
            </w:tcMar>
            <w:vAlign w:val="center"/>
          </w:tcPr>
          <w:p w14:paraId="66100E6C" w14:textId="77777777" w:rsidR="001D7AF9" w:rsidRDefault="002E1144">
            <w:r>
              <w:rPr>
                <w:color w:val="000000"/>
                <w:sz w:val="19"/>
                <w:szCs w:val="19"/>
              </w:rPr>
              <w:t>realestate.amortization</w:t>
            </w:r>
          </w:p>
        </w:tc>
        <w:tc>
          <w:tcPr>
            <w:tcW w:w="3000" w:type="dxa"/>
            <w:tcMar>
              <w:top w:w="80" w:type="dxa"/>
              <w:left w:w="100" w:type="dxa"/>
              <w:bottom w:w="80" w:type="dxa"/>
              <w:right w:w="100" w:type="dxa"/>
            </w:tcMar>
            <w:vAlign w:val="center"/>
          </w:tcPr>
          <w:p w14:paraId="11062E36" w14:textId="77777777" w:rsidR="001D7AF9" w:rsidRDefault="002E1144">
            <w:r>
              <w:rPr>
                <w:color w:val="000000"/>
                <w:sz w:val="19"/>
                <w:szCs w:val="19"/>
              </w:rPr>
              <w:t>Jährliche Amortisation (CHF)</w:t>
            </w:r>
          </w:p>
        </w:tc>
        <w:tc>
          <w:tcPr>
            <w:tcW w:w="1400" w:type="dxa"/>
            <w:tcMar>
              <w:top w:w="80" w:type="dxa"/>
              <w:left w:w="100" w:type="dxa"/>
              <w:bottom w:w="80" w:type="dxa"/>
              <w:right w:w="100" w:type="dxa"/>
            </w:tcMar>
            <w:vAlign w:val="center"/>
          </w:tcPr>
          <w:p w14:paraId="35279374" w14:textId="77777777" w:rsidR="001D7AF9" w:rsidRDefault="002E1144">
            <w:r>
              <w:rPr>
                <w:color w:val="000000"/>
                <w:sz w:val="19"/>
                <w:szCs w:val="19"/>
              </w:rPr>
              <w:t>Betrag</w:t>
            </w:r>
          </w:p>
        </w:tc>
        <w:tc>
          <w:tcPr>
            <w:tcW w:w="4200" w:type="dxa"/>
            <w:tcMar>
              <w:top w:w="80" w:type="dxa"/>
              <w:left w:w="100" w:type="dxa"/>
              <w:bottom w:w="80" w:type="dxa"/>
              <w:right w:w="100" w:type="dxa"/>
            </w:tcMar>
            <w:vAlign w:val="center"/>
          </w:tcPr>
          <w:p w14:paraId="4A5087B5" w14:textId="77777777" w:rsidR="001D7AF9" w:rsidRDefault="002E1144">
            <w:r>
              <w:rPr>
                <w:color w:val="000000"/>
                <w:sz w:val="19"/>
                <w:szCs w:val="19"/>
              </w:rPr>
              <w:t>Betrag, um den die Hypothek pro Jahr reduziert wird.</w:t>
            </w:r>
          </w:p>
        </w:tc>
      </w:tr>
      <w:tr w:rsidR="001D7AF9" w14:paraId="2104AA8A"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6B9E42BF" w14:textId="77777777" w:rsidR="001D7AF9" w:rsidRDefault="002E1144">
            <w:r>
              <w:rPr>
                <w:color w:val="000000"/>
                <w:sz w:val="19"/>
                <w:szCs w:val="19"/>
              </w:rPr>
              <w:t>realestate.sale_price</w:t>
            </w:r>
          </w:p>
        </w:tc>
        <w:tc>
          <w:tcPr>
            <w:tcW w:w="3000" w:type="dxa"/>
            <w:shd w:val="clear" w:color="auto" w:fill="F2F2F2"/>
            <w:tcMar>
              <w:top w:w="80" w:type="dxa"/>
              <w:left w:w="100" w:type="dxa"/>
              <w:bottom w:w="80" w:type="dxa"/>
              <w:right w:w="100" w:type="dxa"/>
            </w:tcMar>
            <w:vAlign w:val="center"/>
          </w:tcPr>
          <w:p w14:paraId="317378B2" w14:textId="77777777" w:rsidR="001D7AF9" w:rsidRDefault="002E1144">
            <w:r>
              <w:rPr>
                <w:color w:val="000000"/>
                <w:sz w:val="19"/>
                <w:szCs w:val="19"/>
              </w:rPr>
              <w:t>Geschätzter Verkaufspreis (CHF)</w:t>
            </w:r>
          </w:p>
        </w:tc>
        <w:tc>
          <w:tcPr>
            <w:tcW w:w="1400" w:type="dxa"/>
            <w:shd w:val="clear" w:color="auto" w:fill="F2F2F2"/>
            <w:tcMar>
              <w:top w:w="80" w:type="dxa"/>
              <w:left w:w="100" w:type="dxa"/>
              <w:bottom w:w="80" w:type="dxa"/>
              <w:right w:w="100" w:type="dxa"/>
            </w:tcMar>
            <w:vAlign w:val="center"/>
          </w:tcPr>
          <w:p w14:paraId="35EA204D" w14:textId="77777777" w:rsidR="001D7AF9" w:rsidRDefault="002E1144">
            <w:r>
              <w:rPr>
                <w:color w:val="000000"/>
                <w:sz w:val="19"/>
                <w:szCs w:val="19"/>
              </w:rPr>
              <w:t>Betrag</w:t>
            </w:r>
          </w:p>
        </w:tc>
        <w:tc>
          <w:tcPr>
            <w:tcW w:w="4200" w:type="dxa"/>
            <w:shd w:val="clear" w:color="auto" w:fill="F2F2F2"/>
            <w:tcMar>
              <w:top w:w="80" w:type="dxa"/>
              <w:left w:w="100" w:type="dxa"/>
              <w:bottom w:w="80" w:type="dxa"/>
              <w:right w:w="100" w:type="dxa"/>
            </w:tcMar>
            <w:vAlign w:val="center"/>
          </w:tcPr>
          <w:p w14:paraId="71E6096E" w14:textId="77777777" w:rsidR="001D7AF9" w:rsidRDefault="002E1144">
            <w:r>
              <w:rPr>
                <w:color w:val="000000"/>
                <w:sz w:val="19"/>
                <w:szCs w:val="19"/>
              </w:rPr>
              <w:t>Nur bei geplantem Verkauf am Ende der Phase auszufüllen.</w:t>
            </w:r>
          </w:p>
        </w:tc>
      </w:tr>
    </w:tbl>
    <w:p w14:paraId="4B0F2110" w14:textId="77777777" w:rsidR="001D7AF9" w:rsidRDefault="002E1144">
      <w:pPr>
        <w:pStyle w:val="berschrift2"/>
        <w:spacing w:before="360" w:after="160"/>
      </w:pPr>
      <w:r>
        <w:rPr>
          <w:b/>
          <w:bCs/>
          <w:color w:val="1F3864"/>
        </w:rPr>
        <w:t>5.6 Sondereinnahmen / -ausgaben</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00"/>
        <w:gridCol w:w="1400"/>
        <w:gridCol w:w="4200"/>
      </w:tblGrid>
      <w:tr w:rsidR="001D7AF9" w14:paraId="2AF9999C" w14:textId="77777777">
        <w:tblPrEx>
          <w:tblCellMar>
            <w:top w:w="0" w:type="dxa"/>
            <w:bottom w:w="0" w:type="dxa"/>
          </w:tblCellMar>
        </w:tblPrEx>
        <w:trPr>
          <w:tblHeader/>
        </w:trPr>
        <w:tc>
          <w:tcPr>
            <w:tcW w:w="2400" w:type="dxa"/>
            <w:shd w:val="clear" w:color="auto" w:fill="1F3864"/>
            <w:tcMar>
              <w:top w:w="80" w:type="dxa"/>
              <w:left w:w="100" w:type="dxa"/>
              <w:bottom w:w="80" w:type="dxa"/>
              <w:right w:w="100" w:type="dxa"/>
            </w:tcMar>
            <w:vAlign w:val="center"/>
          </w:tcPr>
          <w:p w14:paraId="1E742DBE" w14:textId="77777777" w:rsidR="001D7AF9" w:rsidRDefault="002E1144">
            <w:r>
              <w:rPr>
                <w:b/>
                <w:bCs/>
                <w:color w:val="FFFFFF"/>
                <w:sz w:val="19"/>
                <w:szCs w:val="19"/>
              </w:rPr>
              <w:t>Feld</w:t>
            </w:r>
          </w:p>
        </w:tc>
        <w:tc>
          <w:tcPr>
            <w:tcW w:w="3000" w:type="dxa"/>
            <w:shd w:val="clear" w:color="auto" w:fill="1F3864"/>
            <w:tcMar>
              <w:top w:w="80" w:type="dxa"/>
              <w:left w:w="100" w:type="dxa"/>
              <w:bottom w:w="80" w:type="dxa"/>
              <w:right w:w="100" w:type="dxa"/>
            </w:tcMar>
            <w:vAlign w:val="center"/>
          </w:tcPr>
          <w:p w14:paraId="6A0B9E13" w14:textId="77777777" w:rsidR="001D7AF9" w:rsidRDefault="002E1144">
            <w:r>
              <w:rPr>
                <w:b/>
                <w:bCs/>
                <w:color w:val="FFFFFF"/>
                <w:sz w:val="19"/>
                <w:szCs w:val="19"/>
              </w:rPr>
              <w:t>Label (UI)</w:t>
            </w:r>
          </w:p>
        </w:tc>
        <w:tc>
          <w:tcPr>
            <w:tcW w:w="1400" w:type="dxa"/>
            <w:shd w:val="clear" w:color="auto" w:fill="1F3864"/>
            <w:tcMar>
              <w:top w:w="80" w:type="dxa"/>
              <w:left w:w="100" w:type="dxa"/>
              <w:bottom w:w="80" w:type="dxa"/>
              <w:right w:w="100" w:type="dxa"/>
            </w:tcMar>
            <w:vAlign w:val="center"/>
          </w:tcPr>
          <w:p w14:paraId="5ABC26C0" w14:textId="77777777" w:rsidR="001D7AF9" w:rsidRDefault="002E1144">
            <w:r>
              <w:rPr>
                <w:b/>
                <w:bCs/>
                <w:color w:val="FFFFFF"/>
                <w:sz w:val="19"/>
                <w:szCs w:val="19"/>
              </w:rPr>
              <w:t>Typ</w:t>
            </w:r>
          </w:p>
        </w:tc>
        <w:tc>
          <w:tcPr>
            <w:tcW w:w="4200" w:type="dxa"/>
            <w:shd w:val="clear" w:color="auto" w:fill="1F3864"/>
            <w:tcMar>
              <w:top w:w="80" w:type="dxa"/>
              <w:left w:w="100" w:type="dxa"/>
              <w:bottom w:w="80" w:type="dxa"/>
              <w:right w:w="100" w:type="dxa"/>
            </w:tcMar>
            <w:vAlign w:val="center"/>
          </w:tcPr>
          <w:p w14:paraId="7F278A82" w14:textId="77777777" w:rsidR="001D7AF9" w:rsidRDefault="002E1144">
            <w:r>
              <w:rPr>
                <w:b/>
                <w:bCs/>
                <w:color w:val="FFFFFF"/>
                <w:sz w:val="19"/>
                <w:szCs w:val="19"/>
              </w:rPr>
              <w:t>Hilfetext</w:t>
            </w:r>
          </w:p>
        </w:tc>
      </w:tr>
      <w:tr w:rsidR="001D7AF9" w14:paraId="78743565" w14:textId="77777777">
        <w:tblPrEx>
          <w:tblCellMar>
            <w:top w:w="0" w:type="dxa"/>
            <w:bottom w:w="0" w:type="dxa"/>
          </w:tblCellMar>
        </w:tblPrEx>
        <w:tc>
          <w:tcPr>
            <w:tcW w:w="2400" w:type="dxa"/>
            <w:tcMar>
              <w:top w:w="80" w:type="dxa"/>
              <w:left w:w="100" w:type="dxa"/>
              <w:bottom w:w="80" w:type="dxa"/>
              <w:right w:w="100" w:type="dxa"/>
            </w:tcMar>
            <w:vAlign w:val="center"/>
          </w:tcPr>
          <w:p w14:paraId="4486BD3A" w14:textId="77777777" w:rsidR="001D7AF9" w:rsidRDefault="002E1144">
            <w:r>
              <w:rPr>
                <w:color w:val="000000"/>
                <w:sz w:val="19"/>
                <w:szCs w:val="19"/>
              </w:rPr>
              <w:t>one_time_event.type</w:t>
            </w:r>
          </w:p>
        </w:tc>
        <w:tc>
          <w:tcPr>
            <w:tcW w:w="3000" w:type="dxa"/>
            <w:tcMar>
              <w:top w:w="80" w:type="dxa"/>
              <w:left w:w="100" w:type="dxa"/>
              <w:bottom w:w="80" w:type="dxa"/>
              <w:right w:w="100" w:type="dxa"/>
            </w:tcMar>
            <w:vAlign w:val="center"/>
          </w:tcPr>
          <w:p w14:paraId="001645D2" w14:textId="77777777" w:rsidR="001D7AF9" w:rsidRDefault="002E1144">
            <w:r>
              <w:rPr>
                <w:color w:val="000000"/>
                <w:sz w:val="19"/>
                <w:szCs w:val="19"/>
              </w:rPr>
              <w:t>Art</w:t>
            </w:r>
          </w:p>
        </w:tc>
        <w:tc>
          <w:tcPr>
            <w:tcW w:w="1400" w:type="dxa"/>
            <w:tcMar>
              <w:top w:w="80" w:type="dxa"/>
              <w:left w:w="100" w:type="dxa"/>
              <w:bottom w:w="80" w:type="dxa"/>
              <w:right w:w="100" w:type="dxa"/>
            </w:tcMar>
            <w:vAlign w:val="center"/>
          </w:tcPr>
          <w:p w14:paraId="71814468" w14:textId="77777777" w:rsidR="001D7AF9" w:rsidRDefault="002E1144">
            <w:r>
              <w:rPr>
                <w:color w:val="000000"/>
                <w:sz w:val="19"/>
                <w:szCs w:val="19"/>
              </w:rPr>
              <w:t>Auswahl</w:t>
            </w:r>
          </w:p>
        </w:tc>
        <w:tc>
          <w:tcPr>
            <w:tcW w:w="4200" w:type="dxa"/>
            <w:tcMar>
              <w:top w:w="80" w:type="dxa"/>
              <w:left w:w="100" w:type="dxa"/>
              <w:bottom w:w="80" w:type="dxa"/>
              <w:right w:w="100" w:type="dxa"/>
            </w:tcMar>
            <w:vAlign w:val="center"/>
          </w:tcPr>
          <w:p w14:paraId="072A2FB0" w14:textId="77777777" w:rsidR="001D7AF9" w:rsidRDefault="002E1144">
            <w:r>
              <w:rPr>
                <w:color w:val="000000"/>
                <w:sz w:val="19"/>
                <w:szCs w:val="19"/>
              </w:rPr>
              <w:t>Einmalige Einnahme (z. B. Erbschaft) oder einmalige Ausgabe (z. B. Poolbau).</w:t>
            </w:r>
          </w:p>
        </w:tc>
      </w:tr>
      <w:tr w:rsidR="001D7AF9" w14:paraId="49A242D5"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1D316851" w14:textId="77777777" w:rsidR="001D7AF9" w:rsidRDefault="002E1144">
            <w:r>
              <w:rPr>
                <w:color w:val="000000"/>
                <w:sz w:val="19"/>
                <w:szCs w:val="19"/>
              </w:rPr>
              <w:lastRenderedPageBreak/>
              <w:t>one_time_event.amount</w:t>
            </w:r>
          </w:p>
        </w:tc>
        <w:tc>
          <w:tcPr>
            <w:tcW w:w="3000" w:type="dxa"/>
            <w:shd w:val="clear" w:color="auto" w:fill="F2F2F2"/>
            <w:tcMar>
              <w:top w:w="80" w:type="dxa"/>
              <w:left w:w="100" w:type="dxa"/>
              <w:bottom w:w="80" w:type="dxa"/>
              <w:right w:w="100" w:type="dxa"/>
            </w:tcMar>
            <w:vAlign w:val="center"/>
          </w:tcPr>
          <w:p w14:paraId="0B7BB263" w14:textId="77777777" w:rsidR="001D7AF9" w:rsidRDefault="002E1144">
            <w:r>
              <w:rPr>
                <w:color w:val="000000"/>
                <w:sz w:val="19"/>
                <w:szCs w:val="19"/>
              </w:rPr>
              <w:t>Betrag (CHF)</w:t>
            </w:r>
          </w:p>
        </w:tc>
        <w:tc>
          <w:tcPr>
            <w:tcW w:w="1400" w:type="dxa"/>
            <w:shd w:val="clear" w:color="auto" w:fill="F2F2F2"/>
            <w:tcMar>
              <w:top w:w="80" w:type="dxa"/>
              <w:left w:w="100" w:type="dxa"/>
              <w:bottom w:w="80" w:type="dxa"/>
              <w:right w:w="100" w:type="dxa"/>
            </w:tcMar>
            <w:vAlign w:val="center"/>
          </w:tcPr>
          <w:p w14:paraId="237733F8" w14:textId="77777777" w:rsidR="001D7AF9" w:rsidRDefault="002E1144">
            <w:r>
              <w:rPr>
                <w:color w:val="000000"/>
                <w:sz w:val="19"/>
                <w:szCs w:val="19"/>
              </w:rPr>
              <w:t>Betrag</w:t>
            </w:r>
          </w:p>
        </w:tc>
        <w:tc>
          <w:tcPr>
            <w:tcW w:w="4200" w:type="dxa"/>
            <w:shd w:val="clear" w:color="auto" w:fill="F2F2F2"/>
            <w:tcMar>
              <w:top w:w="80" w:type="dxa"/>
              <w:left w:w="100" w:type="dxa"/>
              <w:bottom w:w="80" w:type="dxa"/>
              <w:right w:w="100" w:type="dxa"/>
            </w:tcMar>
            <w:vAlign w:val="center"/>
          </w:tcPr>
          <w:p w14:paraId="2F1166D2" w14:textId="77777777" w:rsidR="001D7AF9" w:rsidRDefault="002E1144">
            <w:r>
              <w:rPr>
                <w:color w:val="000000"/>
                <w:sz w:val="19"/>
                <w:szCs w:val="19"/>
              </w:rPr>
              <w:t>Höhe der einmaligen Ein- oder Ausgabe.</w:t>
            </w:r>
          </w:p>
        </w:tc>
      </w:tr>
      <w:tr w:rsidR="001D7AF9" w14:paraId="4714B2CA" w14:textId="77777777">
        <w:tblPrEx>
          <w:tblCellMar>
            <w:top w:w="0" w:type="dxa"/>
            <w:bottom w:w="0" w:type="dxa"/>
          </w:tblCellMar>
        </w:tblPrEx>
        <w:tc>
          <w:tcPr>
            <w:tcW w:w="2400" w:type="dxa"/>
            <w:tcMar>
              <w:top w:w="80" w:type="dxa"/>
              <w:left w:w="100" w:type="dxa"/>
              <w:bottom w:w="80" w:type="dxa"/>
              <w:right w:w="100" w:type="dxa"/>
            </w:tcMar>
            <w:vAlign w:val="center"/>
          </w:tcPr>
          <w:p w14:paraId="70EAB639" w14:textId="77777777" w:rsidR="001D7AF9" w:rsidRDefault="002E1144">
            <w:r>
              <w:rPr>
                <w:color w:val="000000"/>
                <w:sz w:val="19"/>
                <w:szCs w:val="19"/>
              </w:rPr>
              <w:t>one_time_event.description</w:t>
            </w:r>
          </w:p>
        </w:tc>
        <w:tc>
          <w:tcPr>
            <w:tcW w:w="3000" w:type="dxa"/>
            <w:tcMar>
              <w:top w:w="80" w:type="dxa"/>
              <w:left w:w="100" w:type="dxa"/>
              <w:bottom w:w="80" w:type="dxa"/>
              <w:right w:w="100" w:type="dxa"/>
            </w:tcMar>
            <w:vAlign w:val="center"/>
          </w:tcPr>
          <w:p w14:paraId="775DA888" w14:textId="77777777" w:rsidR="001D7AF9" w:rsidRDefault="002E1144">
            <w:r>
              <w:rPr>
                <w:color w:val="000000"/>
                <w:sz w:val="19"/>
                <w:szCs w:val="19"/>
              </w:rPr>
              <w:t>Beschreibung</w:t>
            </w:r>
          </w:p>
        </w:tc>
        <w:tc>
          <w:tcPr>
            <w:tcW w:w="1400" w:type="dxa"/>
            <w:tcMar>
              <w:top w:w="80" w:type="dxa"/>
              <w:left w:w="100" w:type="dxa"/>
              <w:bottom w:w="80" w:type="dxa"/>
              <w:right w:w="100" w:type="dxa"/>
            </w:tcMar>
            <w:vAlign w:val="center"/>
          </w:tcPr>
          <w:p w14:paraId="5F17651C" w14:textId="77777777" w:rsidR="001D7AF9" w:rsidRDefault="002E1144">
            <w:r>
              <w:rPr>
                <w:color w:val="000000"/>
                <w:sz w:val="19"/>
                <w:szCs w:val="19"/>
              </w:rPr>
              <w:t>Text</w:t>
            </w:r>
          </w:p>
        </w:tc>
        <w:tc>
          <w:tcPr>
            <w:tcW w:w="4200" w:type="dxa"/>
            <w:tcMar>
              <w:top w:w="80" w:type="dxa"/>
              <w:left w:w="100" w:type="dxa"/>
              <w:bottom w:w="80" w:type="dxa"/>
              <w:right w:w="100" w:type="dxa"/>
            </w:tcMar>
            <w:vAlign w:val="center"/>
          </w:tcPr>
          <w:p w14:paraId="1F8EDF2E" w14:textId="77777777" w:rsidR="001D7AF9" w:rsidRDefault="002E1144">
            <w:r>
              <w:rPr>
                <w:color w:val="000000"/>
                <w:sz w:val="19"/>
                <w:szCs w:val="19"/>
              </w:rPr>
              <w:t>Kurze Notiz, worum es sich handelt.</w:t>
            </w:r>
          </w:p>
        </w:tc>
      </w:tr>
    </w:tbl>
    <w:p w14:paraId="001BC960" w14:textId="77777777" w:rsidR="001D7AF9" w:rsidRDefault="002E1144">
      <w:pPr>
        <w:pStyle w:val="berschrift2"/>
        <w:spacing w:before="360" w:after="160"/>
      </w:pPr>
      <w:r>
        <w:rPr>
          <w:b/>
          <w:bCs/>
          <w:color w:val="1F3864"/>
        </w:rPr>
        <w:t>5.7 Pensionierung</w:t>
      </w:r>
    </w:p>
    <w:tbl>
      <w:tblP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5"/>
        <w:gridCol w:w="3398"/>
        <w:gridCol w:w="1599"/>
        <w:gridCol w:w="3798"/>
      </w:tblGrid>
      <w:tr w:rsidR="001D7AF9" w14:paraId="62350B98" w14:textId="77777777">
        <w:tblPrEx>
          <w:tblCellMar>
            <w:top w:w="0" w:type="dxa"/>
            <w:bottom w:w="0" w:type="dxa"/>
          </w:tblCellMar>
        </w:tblPrEx>
        <w:trPr>
          <w:tblHeader/>
        </w:trPr>
        <w:tc>
          <w:tcPr>
            <w:tcW w:w="2600" w:type="dxa"/>
            <w:shd w:val="clear" w:color="auto" w:fill="1F3864"/>
            <w:tcMar>
              <w:top w:w="80" w:type="dxa"/>
              <w:left w:w="100" w:type="dxa"/>
              <w:bottom w:w="80" w:type="dxa"/>
              <w:right w:w="100" w:type="dxa"/>
            </w:tcMar>
            <w:vAlign w:val="center"/>
          </w:tcPr>
          <w:p w14:paraId="4509211F" w14:textId="77777777" w:rsidR="001D7AF9" w:rsidRDefault="002E1144">
            <w:r>
              <w:rPr>
                <w:b/>
                <w:bCs/>
                <w:color w:val="FFFFFF"/>
                <w:sz w:val="19"/>
                <w:szCs w:val="19"/>
              </w:rPr>
              <w:t>Feld</w:t>
            </w:r>
          </w:p>
        </w:tc>
        <w:tc>
          <w:tcPr>
            <w:tcW w:w="3400" w:type="dxa"/>
            <w:shd w:val="clear" w:color="auto" w:fill="1F3864"/>
            <w:tcMar>
              <w:top w:w="80" w:type="dxa"/>
              <w:left w:w="100" w:type="dxa"/>
              <w:bottom w:w="80" w:type="dxa"/>
              <w:right w:w="100" w:type="dxa"/>
            </w:tcMar>
            <w:vAlign w:val="center"/>
          </w:tcPr>
          <w:p w14:paraId="0A48736A" w14:textId="77777777" w:rsidR="001D7AF9" w:rsidRDefault="002E1144">
            <w:r>
              <w:rPr>
                <w:b/>
                <w:bCs/>
                <w:color w:val="FFFFFF"/>
                <w:sz w:val="19"/>
                <w:szCs w:val="19"/>
              </w:rPr>
              <w:t>Label (UI)</w:t>
            </w:r>
          </w:p>
        </w:tc>
        <w:tc>
          <w:tcPr>
            <w:tcW w:w="1600" w:type="dxa"/>
            <w:shd w:val="clear" w:color="auto" w:fill="1F3864"/>
            <w:tcMar>
              <w:top w:w="80" w:type="dxa"/>
              <w:left w:w="100" w:type="dxa"/>
              <w:bottom w:w="80" w:type="dxa"/>
              <w:right w:w="100" w:type="dxa"/>
            </w:tcMar>
            <w:vAlign w:val="center"/>
          </w:tcPr>
          <w:p w14:paraId="18806082" w14:textId="77777777" w:rsidR="001D7AF9" w:rsidRDefault="002E1144">
            <w:r>
              <w:rPr>
                <w:b/>
                <w:bCs/>
                <w:color w:val="FFFFFF"/>
                <w:sz w:val="19"/>
                <w:szCs w:val="19"/>
              </w:rPr>
              <w:t>Typ</w:t>
            </w:r>
          </w:p>
        </w:tc>
        <w:tc>
          <w:tcPr>
            <w:tcW w:w="3800" w:type="dxa"/>
            <w:shd w:val="clear" w:color="auto" w:fill="1F3864"/>
            <w:tcMar>
              <w:top w:w="80" w:type="dxa"/>
              <w:left w:w="100" w:type="dxa"/>
              <w:bottom w:w="80" w:type="dxa"/>
              <w:right w:w="100" w:type="dxa"/>
            </w:tcMar>
            <w:vAlign w:val="center"/>
          </w:tcPr>
          <w:p w14:paraId="10031B25" w14:textId="77777777" w:rsidR="001D7AF9" w:rsidRDefault="002E1144">
            <w:r>
              <w:rPr>
                <w:b/>
                <w:bCs/>
                <w:color w:val="FFFFFF"/>
                <w:sz w:val="19"/>
                <w:szCs w:val="19"/>
              </w:rPr>
              <w:t>Hilfetext</w:t>
            </w:r>
          </w:p>
        </w:tc>
      </w:tr>
      <w:tr w:rsidR="001D7AF9" w14:paraId="1B0A5177" w14:textId="77777777">
        <w:tblPrEx>
          <w:tblCellMar>
            <w:top w:w="0" w:type="dxa"/>
            <w:bottom w:w="0" w:type="dxa"/>
          </w:tblCellMar>
        </w:tblPrEx>
        <w:tc>
          <w:tcPr>
            <w:tcW w:w="2600" w:type="dxa"/>
            <w:tcMar>
              <w:top w:w="80" w:type="dxa"/>
              <w:left w:w="100" w:type="dxa"/>
              <w:bottom w:w="80" w:type="dxa"/>
              <w:right w:w="100" w:type="dxa"/>
            </w:tcMar>
            <w:vAlign w:val="center"/>
          </w:tcPr>
          <w:p w14:paraId="280AA60E" w14:textId="77777777" w:rsidR="001D7AF9" w:rsidRDefault="002E1144">
            <w:r>
              <w:rPr>
                <w:color w:val="000000"/>
                <w:sz w:val="19"/>
                <w:szCs w:val="19"/>
              </w:rPr>
              <w:t>retirement.pension_amount</w:t>
            </w:r>
          </w:p>
        </w:tc>
        <w:tc>
          <w:tcPr>
            <w:tcW w:w="3400" w:type="dxa"/>
            <w:tcMar>
              <w:top w:w="80" w:type="dxa"/>
              <w:left w:w="100" w:type="dxa"/>
              <w:bottom w:w="80" w:type="dxa"/>
              <w:right w:w="100" w:type="dxa"/>
            </w:tcMar>
            <w:vAlign w:val="center"/>
          </w:tcPr>
          <w:p w14:paraId="3B9126C7" w14:textId="77777777" w:rsidR="001D7AF9" w:rsidRDefault="002E1144">
            <w:r>
              <w:rPr>
                <w:color w:val="000000"/>
                <w:sz w:val="19"/>
                <w:szCs w:val="19"/>
              </w:rPr>
              <w:t>Erwartete Rente (CHF/Jahr)</w:t>
            </w:r>
          </w:p>
        </w:tc>
        <w:tc>
          <w:tcPr>
            <w:tcW w:w="1600" w:type="dxa"/>
            <w:tcMar>
              <w:top w:w="80" w:type="dxa"/>
              <w:left w:w="100" w:type="dxa"/>
              <w:bottom w:w="80" w:type="dxa"/>
              <w:right w:w="100" w:type="dxa"/>
            </w:tcMar>
            <w:vAlign w:val="center"/>
          </w:tcPr>
          <w:p w14:paraId="4A8962E7" w14:textId="77777777" w:rsidR="001D7AF9" w:rsidRDefault="002E1144">
            <w:r>
              <w:rPr>
                <w:color w:val="000000"/>
                <w:sz w:val="19"/>
                <w:szCs w:val="19"/>
              </w:rPr>
              <w:t>Betrag</w:t>
            </w:r>
          </w:p>
        </w:tc>
        <w:tc>
          <w:tcPr>
            <w:tcW w:w="3800" w:type="dxa"/>
            <w:tcMar>
              <w:top w:w="80" w:type="dxa"/>
              <w:left w:w="100" w:type="dxa"/>
              <w:bottom w:w="80" w:type="dxa"/>
              <w:right w:w="100" w:type="dxa"/>
            </w:tcMar>
            <w:vAlign w:val="center"/>
          </w:tcPr>
          <w:p w14:paraId="13A4241E" w14:textId="77777777" w:rsidR="001D7AF9" w:rsidRDefault="002E1144">
            <w:r>
              <w:rPr>
                <w:color w:val="000000"/>
                <w:sz w:val="19"/>
                <w:szCs w:val="19"/>
              </w:rPr>
              <w:t>Zusammengesetzt aus AHV-Rente + Pensionskassenrente (2. Säule).</w:t>
            </w:r>
          </w:p>
        </w:tc>
      </w:tr>
      <w:tr w:rsidR="001D7AF9" w14:paraId="7032B3EC" w14:textId="77777777">
        <w:tblPrEx>
          <w:tblCellMar>
            <w:top w:w="0" w:type="dxa"/>
            <w:bottom w:w="0" w:type="dxa"/>
          </w:tblCellMar>
        </w:tblPrEx>
        <w:tc>
          <w:tcPr>
            <w:tcW w:w="2600" w:type="dxa"/>
            <w:shd w:val="clear" w:color="auto" w:fill="F2F2F2"/>
            <w:tcMar>
              <w:top w:w="80" w:type="dxa"/>
              <w:left w:w="100" w:type="dxa"/>
              <w:bottom w:w="80" w:type="dxa"/>
              <w:right w:w="100" w:type="dxa"/>
            </w:tcMar>
            <w:vAlign w:val="center"/>
          </w:tcPr>
          <w:p w14:paraId="75E40F67" w14:textId="77777777" w:rsidR="001D7AF9" w:rsidRDefault="002E1144">
            <w:r>
              <w:rPr>
                <w:color w:val="000000"/>
                <w:sz w:val="19"/>
                <w:szCs w:val="19"/>
              </w:rPr>
              <w:t>retirement.lump_sum_amount</w:t>
            </w:r>
          </w:p>
        </w:tc>
        <w:tc>
          <w:tcPr>
            <w:tcW w:w="3400" w:type="dxa"/>
            <w:shd w:val="clear" w:color="auto" w:fill="F2F2F2"/>
            <w:tcMar>
              <w:top w:w="80" w:type="dxa"/>
              <w:left w:w="100" w:type="dxa"/>
              <w:bottom w:w="80" w:type="dxa"/>
              <w:right w:w="100" w:type="dxa"/>
            </w:tcMar>
            <w:vAlign w:val="center"/>
          </w:tcPr>
          <w:p w14:paraId="492FE611" w14:textId="77777777" w:rsidR="001D7AF9" w:rsidRDefault="002E1144">
            <w:r>
              <w:rPr>
                <w:color w:val="000000"/>
                <w:sz w:val="19"/>
                <w:szCs w:val="19"/>
              </w:rPr>
              <w:t>Erwarteter Kapitalbezug (CHF, brutto)</w:t>
            </w:r>
          </w:p>
        </w:tc>
        <w:tc>
          <w:tcPr>
            <w:tcW w:w="1600" w:type="dxa"/>
            <w:shd w:val="clear" w:color="auto" w:fill="F2F2F2"/>
            <w:tcMar>
              <w:top w:w="80" w:type="dxa"/>
              <w:left w:w="100" w:type="dxa"/>
              <w:bottom w:w="80" w:type="dxa"/>
              <w:right w:w="100" w:type="dxa"/>
            </w:tcMar>
            <w:vAlign w:val="center"/>
          </w:tcPr>
          <w:p w14:paraId="4D99F98F" w14:textId="77777777" w:rsidR="001D7AF9" w:rsidRDefault="002E1144">
            <w:r>
              <w:rPr>
                <w:color w:val="000000"/>
                <w:sz w:val="19"/>
                <w:szCs w:val="19"/>
              </w:rPr>
              <w:t>Betrag</w:t>
            </w:r>
          </w:p>
        </w:tc>
        <w:tc>
          <w:tcPr>
            <w:tcW w:w="3800" w:type="dxa"/>
            <w:shd w:val="clear" w:color="auto" w:fill="F2F2F2"/>
            <w:tcMar>
              <w:top w:w="80" w:type="dxa"/>
              <w:left w:w="100" w:type="dxa"/>
              <w:bottom w:w="80" w:type="dxa"/>
              <w:right w:w="100" w:type="dxa"/>
            </w:tcMar>
            <w:vAlign w:val="center"/>
          </w:tcPr>
          <w:p w14:paraId="2707C58F" w14:textId="77777777" w:rsidR="001D7AF9" w:rsidRDefault="002E1144">
            <w:r>
              <w:rPr>
                <w:color w:val="000000"/>
                <w:sz w:val="19"/>
                <w:szCs w:val="19"/>
              </w:rPr>
              <w:t>Zusammengesetzt aus Säule 3a und/oder Kapitalbezug aus der Pensionskasse.</w:t>
            </w:r>
          </w:p>
        </w:tc>
      </w:tr>
      <w:tr w:rsidR="001D7AF9" w14:paraId="18FF0A74" w14:textId="77777777">
        <w:tblPrEx>
          <w:tblCellMar>
            <w:top w:w="0" w:type="dxa"/>
            <w:bottom w:w="0" w:type="dxa"/>
          </w:tblCellMar>
        </w:tblPrEx>
        <w:tc>
          <w:tcPr>
            <w:tcW w:w="2600" w:type="dxa"/>
            <w:tcMar>
              <w:top w:w="80" w:type="dxa"/>
              <w:left w:w="100" w:type="dxa"/>
              <w:bottom w:w="80" w:type="dxa"/>
              <w:right w:w="100" w:type="dxa"/>
            </w:tcMar>
            <w:vAlign w:val="center"/>
          </w:tcPr>
          <w:p w14:paraId="642D4EAE" w14:textId="77777777" w:rsidR="001D7AF9" w:rsidRDefault="002E1144">
            <w:r>
              <w:rPr>
                <w:color w:val="000000"/>
                <w:sz w:val="19"/>
                <w:szCs w:val="19"/>
              </w:rPr>
              <w:t>retirement.lump_sum_net (berechnet)</w:t>
            </w:r>
          </w:p>
        </w:tc>
        <w:tc>
          <w:tcPr>
            <w:tcW w:w="3400" w:type="dxa"/>
            <w:tcMar>
              <w:top w:w="80" w:type="dxa"/>
              <w:left w:w="100" w:type="dxa"/>
              <w:bottom w:w="80" w:type="dxa"/>
              <w:right w:w="100" w:type="dxa"/>
            </w:tcMar>
            <w:vAlign w:val="center"/>
          </w:tcPr>
          <w:p w14:paraId="3930636B" w14:textId="77777777" w:rsidR="001D7AF9" w:rsidRDefault="002E1144">
            <w:r>
              <w:rPr>
                <w:color w:val="000000"/>
                <w:sz w:val="19"/>
                <w:szCs w:val="19"/>
              </w:rPr>
              <w:t>Kapitalbezug netto (CHF)</w:t>
            </w:r>
          </w:p>
        </w:tc>
        <w:tc>
          <w:tcPr>
            <w:tcW w:w="1600" w:type="dxa"/>
            <w:tcMar>
              <w:top w:w="80" w:type="dxa"/>
              <w:left w:w="100" w:type="dxa"/>
              <w:bottom w:w="80" w:type="dxa"/>
              <w:right w:w="100" w:type="dxa"/>
            </w:tcMar>
            <w:vAlign w:val="center"/>
          </w:tcPr>
          <w:p w14:paraId="1062E387" w14:textId="77777777" w:rsidR="001D7AF9" w:rsidRDefault="002E1144">
            <w:r>
              <w:rPr>
                <w:color w:val="000000"/>
                <w:sz w:val="19"/>
                <w:szCs w:val="19"/>
              </w:rPr>
              <w:t>berechnet</w:t>
            </w:r>
          </w:p>
        </w:tc>
        <w:tc>
          <w:tcPr>
            <w:tcW w:w="3800" w:type="dxa"/>
            <w:tcMar>
              <w:top w:w="80" w:type="dxa"/>
              <w:left w:w="100" w:type="dxa"/>
              <w:bottom w:w="80" w:type="dxa"/>
              <w:right w:w="100" w:type="dxa"/>
            </w:tcMar>
            <w:vAlign w:val="center"/>
          </w:tcPr>
          <w:p w14:paraId="3CBF7BD9" w14:textId="77777777" w:rsidR="001D7AF9" w:rsidRDefault="002E1144">
            <w:r>
              <w:rPr>
                <w:color w:val="000000"/>
                <w:sz w:val="19"/>
                <w:szCs w:val="19"/>
              </w:rPr>
              <w:t>Bruttobetrag abzüglich der geschätzten Kapitalbezugssteuer (siehe unten).</w:t>
            </w:r>
          </w:p>
        </w:tc>
      </w:tr>
    </w:tbl>
    <w:p w14:paraId="0B40B6B9" w14:textId="77777777" w:rsidR="001D7AF9" w:rsidRDefault="002E1144">
      <w:pPr>
        <w:pStyle w:val="berschrift2"/>
        <w:spacing w:before="360" w:after="160"/>
      </w:pPr>
      <w:r>
        <w:rPr>
          <w:b/>
          <w:bCs/>
          <w:color w:val="1F3864"/>
        </w:rPr>
        <w:t>5.8 Steuersätze pro Ereignis</w:t>
      </w:r>
    </w:p>
    <w:p w14:paraId="4CAE7B9F" w14:textId="77777777" w:rsidR="001D7AF9" w:rsidRDefault="002E1144">
      <w:pPr>
        <w:spacing w:after="160" w:line="300" w:lineRule="auto"/>
      </w:pPr>
      <w:r>
        <w:t>Diese drei Felder sind das Ergebnis der Steuerrecherche (siehe Kap. 9). Sie erscheinen jeweils direkt beim auslösenden Ereignis, nicht zentral an einem Ort.</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4"/>
        <w:gridCol w:w="2941"/>
        <w:gridCol w:w="1171"/>
        <w:gridCol w:w="4244"/>
      </w:tblGrid>
      <w:tr w:rsidR="001D7AF9" w14:paraId="627254D2" w14:textId="77777777">
        <w:tblPrEx>
          <w:tblCellMar>
            <w:top w:w="0" w:type="dxa"/>
            <w:bottom w:w="0" w:type="dxa"/>
          </w:tblCellMar>
        </w:tblPrEx>
        <w:trPr>
          <w:tblHeader/>
        </w:trPr>
        <w:tc>
          <w:tcPr>
            <w:tcW w:w="2400" w:type="dxa"/>
            <w:shd w:val="clear" w:color="auto" w:fill="1F3864"/>
            <w:tcMar>
              <w:top w:w="80" w:type="dxa"/>
              <w:left w:w="100" w:type="dxa"/>
              <w:bottom w:w="80" w:type="dxa"/>
              <w:right w:w="100" w:type="dxa"/>
            </w:tcMar>
            <w:vAlign w:val="center"/>
          </w:tcPr>
          <w:p w14:paraId="5CC9673D" w14:textId="77777777" w:rsidR="001D7AF9" w:rsidRDefault="002E1144">
            <w:r>
              <w:rPr>
                <w:b/>
                <w:bCs/>
                <w:color w:val="FFFFFF"/>
                <w:sz w:val="19"/>
                <w:szCs w:val="19"/>
              </w:rPr>
              <w:t>Feld</w:t>
            </w:r>
          </w:p>
        </w:tc>
        <w:tc>
          <w:tcPr>
            <w:tcW w:w="3000" w:type="dxa"/>
            <w:shd w:val="clear" w:color="auto" w:fill="1F3864"/>
            <w:tcMar>
              <w:top w:w="80" w:type="dxa"/>
              <w:left w:w="100" w:type="dxa"/>
              <w:bottom w:w="80" w:type="dxa"/>
              <w:right w:w="100" w:type="dxa"/>
            </w:tcMar>
            <w:vAlign w:val="center"/>
          </w:tcPr>
          <w:p w14:paraId="358A7F41" w14:textId="77777777" w:rsidR="001D7AF9" w:rsidRDefault="002E1144">
            <w:r>
              <w:rPr>
                <w:b/>
                <w:bCs/>
                <w:color w:val="FFFFFF"/>
                <w:sz w:val="19"/>
                <w:szCs w:val="19"/>
              </w:rPr>
              <w:t>Label (UI)</w:t>
            </w:r>
          </w:p>
        </w:tc>
        <w:tc>
          <w:tcPr>
            <w:tcW w:w="1200" w:type="dxa"/>
            <w:shd w:val="clear" w:color="auto" w:fill="1F3864"/>
            <w:tcMar>
              <w:top w:w="80" w:type="dxa"/>
              <w:left w:w="100" w:type="dxa"/>
              <w:bottom w:w="80" w:type="dxa"/>
              <w:right w:w="100" w:type="dxa"/>
            </w:tcMar>
            <w:vAlign w:val="center"/>
          </w:tcPr>
          <w:p w14:paraId="1D40B044" w14:textId="77777777" w:rsidR="001D7AF9" w:rsidRDefault="002E1144">
            <w:r>
              <w:rPr>
                <w:b/>
                <w:bCs/>
                <w:color w:val="FFFFFF"/>
                <w:sz w:val="19"/>
                <w:szCs w:val="19"/>
              </w:rPr>
              <w:t>Default</w:t>
            </w:r>
          </w:p>
        </w:tc>
        <w:tc>
          <w:tcPr>
            <w:tcW w:w="4400" w:type="dxa"/>
            <w:shd w:val="clear" w:color="auto" w:fill="1F3864"/>
            <w:tcMar>
              <w:top w:w="80" w:type="dxa"/>
              <w:left w:w="100" w:type="dxa"/>
              <w:bottom w:w="80" w:type="dxa"/>
              <w:right w:w="100" w:type="dxa"/>
            </w:tcMar>
            <w:vAlign w:val="center"/>
          </w:tcPr>
          <w:p w14:paraId="55B6D766" w14:textId="77777777" w:rsidR="001D7AF9" w:rsidRDefault="002E1144">
            <w:r>
              <w:rPr>
                <w:b/>
                <w:bCs/>
                <w:color w:val="FFFFFF"/>
                <w:sz w:val="19"/>
                <w:szCs w:val="19"/>
              </w:rPr>
              <w:t>Hilfetext (Info-Bubble)</w:t>
            </w:r>
          </w:p>
        </w:tc>
      </w:tr>
      <w:tr w:rsidR="001D7AF9" w14:paraId="277B271F" w14:textId="77777777">
        <w:tblPrEx>
          <w:tblCellMar>
            <w:top w:w="0" w:type="dxa"/>
            <w:bottom w:w="0" w:type="dxa"/>
          </w:tblCellMar>
        </w:tblPrEx>
        <w:tc>
          <w:tcPr>
            <w:tcW w:w="2400" w:type="dxa"/>
            <w:tcMar>
              <w:top w:w="80" w:type="dxa"/>
              <w:left w:w="100" w:type="dxa"/>
              <w:bottom w:w="80" w:type="dxa"/>
              <w:right w:w="100" w:type="dxa"/>
            </w:tcMar>
            <w:vAlign w:val="center"/>
          </w:tcPr>
          <w:p w14:paraId="572CE44A" w14:textId="77777777" w:rsidR="001D7AF9" w:rsidRDefault="002E1144">
            <w:r>
              <w:rPr>
                <w:color w:val="000000"/>
                <w:sz w:val="19"/>
                <w:szCs w:val="19"/>
              </w:rPr>
              <w:t>realestate.tax_rate</w:t>
            </w:r>
          </w:p>
        </w:tc>
        <w:tc>
          <w:tcPr>
            <w:tcW w:w="3000" w:type="dxa"/>
            <w:tcMar>
              <w:top w:w="80" w:type="dxa"/>
              <w:left w:w="100" w:type="dxa"/>
              <w:bottom w:w="80" w:type="dxa"/>
              <w:right w:w="100" w:type="dxa"/>
            </w:tcMar>
            <w:vAlign w:val="center"/>
          </w:tcPr>
          <w:p w14:paraId="703EC937" w14:textId="77777777" w:rsidR="001D7AF9" w:rsidRDefault="002E1144">
            <w:r>
              <w:rPr>
                <w:color w:val="000000"/>
                <w:sz w:val="19"/>
                <w:szCs w:val="19"/>
              </w:rPr>
              <w:t>Geschätzte Grundstückgewinnsteuer (%)</w:t>
            </w:r>
          </w:p>
        </w:tc>
        <w:tc>
          <w:tcPr>
            <w:tcW w:w="1200" w:type="dxa"/>
            <w:tcMar>
              <w:top w:w="80" w:type="dxa"/>
              <w:left w:w="100" w:type="dxa"/>
              <w:bottom w:w="80" w:type="dxa"/>
              <w:right w:w="100" w:type="dxa"/>
            </w:tcMar>
            <w:vAlign w:val="center"/>
          </w:tcPr>
          <w:p w14:paraId="33BA371F" w14:textId="77777777" w:rsidR="001D7AF9" w:rsidRDefault="002E1144">
            <w:r>
              <w:rPr>
                <w:color w:val="000000"/>
                <w:sz w:val="19"/>
                <w:szCs w:val="19"/>
              </w:rPr>
              <w:t>20 %</w:t>
            </w:r>
          </w:p>
        </w:tc>
        <w:tc>
          <w:tcPr>
            <w:tcW w:w="4400" w:type="dxa"/>
            <w:tcMar>
              <w:top w:w="80" w:type="dxa"/>
              <w:left w:w="100" w:type="dxa"/>
              <w:bottom w:w="80" w:type="dxa"/>
              <w:right w:w="100" w:type="dxa"/>
            </w:tcMar>
            <w:vAlign w:val="center"/>
          </w:tcPr>
          <w:p w14:paraId="09E168B9" w14:textId="77777777" w:rsidR="001D7AF9" w:rsidRDefault="002E1144">
            <w:r>
              <w:rPr>
                <w:color w:val="000000"/>
                <w:sz w:val="19"/>
                <w:szCs w:val="19"/>
              </w:rPr>
              <w:t>Die Grundstückgewinnsteuer ist eine kantonale Steuer auf den Verkaufsgewinn einer Liegenschaft und variiert stark nach Kanton und Besitzdauer. Realistische Bandbreite: ca. 10–30 % des Gewinns (in steuergünstigen Kantonen wie SZ/ZG oft 5–15 %, in Kantonen wie ZH/BE bis zu 40 % bei kurzer Besitzdauer, deutlich weniger bei langer Haltedauer). Bitte eigenen Erfahrungswert oder kantonalen Richtwert eintragen.</w:t>
            </w:r>
          </w:p>
        </w:tc>
      </w:tr>
      <w:tr w:rsidR="001D7AF9" w14:paraId="72C0F0F3" w14:textId="77777777">
        <w:tblPrEx>
          <w:tblCellMar>
            <w:top w:w="0" w:type="dxa"/>
            <w:bottom w:w="0" w:type="dxa"/>
          </w:tblCellMar>
        </w:tblPrEx>
        <w:tc>
          <w:tcPr>
            <w:tcW w:w="2400" w:type="dxa"/>
            <w:shd w:val="clear" w:color="auto" w:fill="F2F2F2"/>
            <w:tcMar>
              <w:top w:w="80" w:type="dxa"/>
              <w:left w:w="100" w:type="dxa"/>
              <w:bottom w:w="80" w:type="dxa"/>
              <w:right w:w="100" w:type="dxa"/>
            </w:tcMar>
            <w:vAlign w:val="center"/>
          </w:tcPr>
          <w:p w14:paraId="3A98A6A8" w14:textId="77777777" w:rsidR="001D7AF9" w:rsidRDefault="002E1144">
            <w:r>
              <w:rPr>
                <w:color w:val="000000"/>
                <w:sz w:val="19"/>
                <w:szCs w:val="19"/>
              </w:rPr>
              <w:t>retirement.lump_sum_tax_rate</w:t>
            </w:r>
          </w:p>
        </w:tc>
        <w:tc>
          <w:tcPr>
            <w:tcW w:w="3000" w:type="dxa"/>
            <w:shd w:val="clear" w:color="auto" w:fill="F2F2F2"/>
            <w:tcMar>
              <w:top w:w="80" w:type="dxa"/>
              <w:left w:w="100" w:type="dxa"/>
              <w:bottom w:w="80" w:type="dxa"/>
              <w:right w:w="100" w:type="dxa"/>
            </w:tcMar>
            <w:vAlign w:val="center"/>
          </w:tcPr>
          <w:p w14:paraId="0D3E3F12" w14:textId="77777777" w:rsidR="001D7AF9" w:rsidRDefault="002E1144">
            <w:r>
              <w:rPr>
                <w:color w:val="000000"/>
                <w:sz w:val="19"/>
                <w:szCs w:val="19"/>
              </w:rPr>
              <w:t>Geschätzte Kapitalbezugssteuer (%)</w:t>
            </w:r>
          </w:p>
        </w:tc>
        <w:tc>
          <w:tcPr>
            <w:tcW w:w="1200" w:type="dxa"/>
            <w:shd w:val="clear" w:color="auto" w:fill="F2F2F2"/>
            <w:tcMar>
              <w:top w:w="80" w:type="dxa"/>
              <w:left w:w="100" w:type="dxa"/>
              <w:bottom w:w="80" w:type="dxa"/>
              <w:right w:w="100" w:type="dxa"/>
            </w:tcMar>
            <w:vAlign w:val="center"/>
          </w:tcPr>
          <w:p w14:paraId="28064652" w14:textId="77777777" w:rsidR="001D7AF9" w:rsidRDefault="002E1144">
            <w:r>
              <w:rPr>
                <w:color w:val="000000"/>
                <w:sz w:val="19"/>
                <w:szCs w:val="19"/>
              </w:rPr>
              <w:t>8 %</w:t>
            </w:r>
          </w:p>
        </w:tc>
        <w:tc>
          <w:tcPr>
            <w:tcW w:w="4400" w:type="dxa"/>
            <w:shd w:val="clear" w:color="auto" w:fill="F2F2F2"/>
            <w:tcMar>
              <w:top w:w="80" w:type="dxa"/>
              <w:left w:w="100" w:type="dxa"/>
              <w:bottom w:w="80" w:type="dxa"/>
              <w:right w:w="100" w:type="dxa"/>
            </w:tcMar>
            <w:vAlign w:val="center"/>
          </w:tcPr>
          <w:p w14:paraId="13C474C9" w14:textId="77777777" w:rsidR="001D7AF9" w:rsidRDefault="002E1144">
            <w:r>
              <w:rPr>
                <w:color w:val="000000"/>
                <w:sz w:val="19"/>
                <w:szCs w:val="19"/>
              </w:rPr>
              <w:t>Kapitalbezüge aus Pensionskasse und Säule 3a werden separat vom übrigen Einkommen zu einem reduzierten, progressiven Satz besteuert. Realistische Bandbreite: ca. 3–15 % des Bruttobetrags (kleinere Bezüge bis ca. CHF 250'000 typischerweise 3–7 %, grössere Bezüge über CHF 500'000 in teuren Kantonen wie Zürich bis 15–20 %). Eine Staffelung des Bezugs über mehrere Jahre reduziert die Steuerlast spürbar.</w:t>
            </w:r>
          </w:p>
        </w:tc>
      </w:tr>
      <w:tr w:rsidR="001D7AF9" w14:paraId="190E7F8C" w14:textId="77777777">
        <w:tblPrEx>
          <w:tblCellMar>
            <w:top w:w="0" w:type="dxa"/>
            <w:bottom w:w="0" w:type="dxa"/>
          </w:tblCellMar>
        </w:tblPrEx>
        <w:tc>
          <w:tcPr>
            <w:tcW w:w="2400" w:type="dxa"/>
            <w:tcMar>
              <w:top w:w="80" w:type="dxa"/>
              <w:left w:w="100" w:type="dxa"/>
              <w:bottom w:w="80" w:type="dxa"/>
              <w:right w:w="100" w:type="dxa"/>
            </w:tcMar>
            <w:vAlign w:val="center"/>
          </w:tcPr>
          <w:p w14:paraId="6EE88160" w14:textId="77777777" w:rsidR="001D7AF9" w:rsidRDefault="002E1144">
            <w:r>
              <w:rPr>
                <w:color w:val="000000"/>
                <w:sz w:val="19"/>
                <w:szCs w:val="19"/>
              </w:rPr>
              <w:t>security.sale_tax_rate</w:t>
            </w:r>
          </w:p>
        </w:tc>
        <w:tc>
          <w:tcPr>
            <w:tcW w:w="3000" w:type="dxa"/>
            <w:tcMar>
              <w:top w:w="80" w:type="dxa"/>
              <w:left w:w="100" w:type="dxa"/>
              <w:bottom w:w="80" w:type="dxa"/>
              <w:right w:w="100" w:type="dxa"/>
            </w:tcMar>
            <w:vAlign w:val="center"/>
          </w:tcPr>
          <w:p w14:paraId="68B83DAD" w14:textId="77777777" w:rsidR="001D7AF9" w:rsidRDefault="002E1144">
            <w:r>
              <w:rPr>
                <w:color w:val="000000"/>
                <w:sz w:val="19"/>
                <w:szCs w:val="19"/>
              </w:rPr>
              <w:t>Geschätzte Steuer auf Wertschriftenverkauf (%)</w:t>
            </w:r>
          </w:p>
        </w:tc>
        <w:tc>
          <w:tcPr>
            <w:tcW w:w="1200" w:type="dxa"/>
            <w:tcMar>
              <w:top w:w="80" w:type="dxa"/>
              <w:left w:w="100" w:type="dxa"/>
              <w:bottom w:w="80" w:type="dxa"/>
              <w:right w:w="100" w:type="dxa"/>
            </w:tcMar>
            <w:vAlign w:val="center"/>
          </w:tcPr>
          <w:p w14:paraId="7F231526" w14:textId="77777777" w:rsidR="001D7AF9" w:rsidRDefault="002E1144">
            <w:r>
              <w:rPr>
                <w:color w:val="000000"/>
                <w:sz w:val="19"/>
                <w:szCs w:val="19"/>
              </w:rPr>
              <w:t>0 %</w:t>
            </w:r>
          </w:p>
        </w:tc>
        <w:tc>
          <w:tcPr>
            <w:tcW w:w="4400" w:type="dxa"/>
            <w:tcMar>
              <w:top w:w="80" w:type="dxa"/>
              <w:left w:w="100" w:type="dxa"/>
              <w:bottom w:w="80" w:type="dxa"/>
              <w:right w:w="100" w:type="dxa"/>
            </w:tcMar>
            <w:vAlign w:val="center"/>
          </w:tcPr>
          <w:p w14:paraId="7FEF43F1" w14:textId="77777777" w:rsidR="001D7AF9" w:rsidRDefault="002E1144">
            <w:r>
              <w:rPr>
                <w:color w:val="000000"/>
                <w:sz w:val="19"/>
                <w:szCs w:val="19"/>
              </w:rPr>
              <w:t>Wichtig: Kapitalgewinne aus dem Verkauf privat gehaltener Wertschriften (Aktien, ETFs) sind in der Schweiz für Privatpersonen in aller Regel steuerfrei. Eine Steuer fällt nur an, wenn Sie steuerlich als „gewerbsmässige/r Wertschriftenhändler/in“ eingestuft werden (u. a. bei sehr häufigem Handel, hoher Fremdfinanzierung oder wenn die Gewinne Ihren Lebensunterhalt überwiegend decken). Der Default ist deshalb 0 %; passen Sie den Wert nur an, wenn Sie diese Situation erwarten.</w:t>
            </w:r>
          </w:p>
        </w:tc>
      </w:tr>
    </w:tbl>
    <w:p w14:paraId="5C3FCF3C" w14:textId="77777777" w:rsidR="001D7AF9" w:rsidRDefault="002E1144">
      <w:pPr>
        <w:pBdr>
          <w:left w:val="single" w:sz="18" w:space="6" w:color="2E74B5"/>
        </w:pBdr>
        <w:shd w:val="clear" w:color="auto" w:fill="DDEBF7"/>
        <w:spacing w:before="80" w:after="200"/>
        <w:ind w:left="120"/>
      </w:pPr>
      <w:r>
        <w:rPr>
          <w:i/>
          <w:iCs/>
          <w:color w:val="333333"/>
          <w:sz w:val="20"/>
          <w:szCs w:val="20"/>
        </w:rPr>
        <w:t>💡</w:t>
      </w:r>
      <w:r>
        <w:rPr>
          <w:i/>
          <w:iCs/>
          <w:color w:val="333333"/>
          <w:sz w:val="20"/>
          <w:szCs w:val="20"/>
        </w:rPr>
        <w:t xml:space="preserve"> Quellen der Recherche (Stand: Juli 2026): Eidg. Steuerverwaltung (ESTV), Steuerharmonisierungsgesetz Art. 12 (Grundstückgewinnsteuer) und Art. 16 Abs. 3 DBG (steuerfreier privater Kapitalgewinn), sowie kantonale </w:t>
      </w:r>
      <w:r>
        <w:rPr>
          <w:i/>
          <w:iCs/>
          <w:color w:val="333333"/>
          <w:sz w:val="20"/>
          <w:szCs w:val="20"/>
        </w:rPr>
        <w:lastRenderedPageBreak/>
        <w:t>Vergleichsportale (u. a. finpension.ch, moneyland.ch, UBS). Die angegebenen Bandbreiten sind grobe Richtwerte für die Tool-interne Abschätzung und ersetzen keine individuelle Steuerberatung – dieser Hinweis kann auch direkt im Tool ergänzt werden.</w:t>
      </w:r>
    </w:p>
    <w:p w14:paraId="16FE258A" w14:textId="77777777" w:rsidR="001D7AF9" w:rsidRDefault="002E1144">
      <w:pPr>
        <w:pStyle w:val="berschrift1"/>
        <w:pBdr>
          <w:bottom w:val="single" w:sz="6" w:space="4" w:color="2E74B5"/>
        </w:pBdr>
        <w:spacing w:before="480" w:after="240"/>
      </w:pPr>
      <w:r>
        <w:rPr>
          <w:b/>
          <w:bCs/>
          <w:color w:val="1F3864"/>
        </w:rPr>
        <w:t>6. Validierungsregeln (Zusammenfassung)</w:t>
      </w:r>
    </w:p>
    <w:tbl>
      <w:tblP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5400"/>
      </w:tblGrid>
      <w:tr w:rsidR="001D7AF9" w14:paraId="49D04194" w14:textId="77777777">
        <w:tblPrEx>
          <w:tblCellMar>
            <w:top w:w="0" w:type="dxa"/>
            <w:bottom w:w="0" w:type="dxa"/>
          </w:tblCellMar>
        </w:tblPrEx>
        <w:trPr>
          <w:tblHeader/>
        </w:trPr>
        <w:tc>
          <w:tcPr>
            <w:tcW w:w="6000" w:type="dxa"/>
            <w:shd w:val="clear" w:color="auto" w:fill="1F3864"/>
            <w:tcMar>
              <w:top w:w="80" w:type="dxa"/>
              <w:left w:w="100" w:type="dxa"/>
              <w:bottom w:w="80" w:type="dxa"/>
              <w:right w:w="100" w:type="dxa"/>
            </w:tcMar>
            <w:vAlign w:val="center"/>
          </w:tcPr>
          <w:p w14:paraId="2EF2D276" w14:textId="77777777" w:rsidR="001D7AF9" w:rsidRDefault="002E1144">
            <w:r>
              <w:rPr>
                <w:b/>
                <w:bCs/>
                <w:color w:val="FFFFFF"/>
                <w:sz w:val="19"/>
                <w:szCs w:val="19"/>
              </w:rPr>
              <w:t>Regel</w:t>
            </w:r>
          </w:p>
        </w:tc>
        <w:tc>
          <w:tcPr>
            <w:tcW w:w="5400" w:type="dxa"/>
            <w:shd w:val="clear" w:color="auto" w:fill="1F3864"/>
            <w:tcMar>
              <w:top w:w="80" w:type="dxa"/>
              <w:left w:w="100" w:type="dxa"/>
              <w:bottom w:w="80" w:type="dxa"/>
              <w:right w:w="100" w:type="dxa"/>
            </w:tcMar>
            <w:vAlign w:val="center"/>
          </w:tcPr>
          <w:p w14:paraId="3480BC9A" w14:textId="77777777" w:rsidR="001D7AF9" w:rsidRDefault="002E1144">
            <w:r>
              <w:rPr>
                <w:b/>
                <w:bCs/>
                <w:color w:val="FFFFFF"/>
                <w:sz w:val="19"/>
                <w:szCs w:val="19"/>
              </w:rPr>
              <w:t>Verhalten bei Verletzung</w:t>
            </w:r>
          </w:p>
        </w:tc>
      </w:tr>
      <w:tr w:rsidR="001D7AF9" w14:paraId="580EF99D" w14:textId="77777777">
        <w:tblPrEx>
          <w:tblCellMar>
            <w:top w:w="0" w:type="dxa"/>
            <w:bottom w:w="0" w:type="dxa"/>
          </w:tblCellMar>
        </w:tblPrEx>
        <w:tc>
          <w:tcPr>
            <w:tcW w:w="6000" w:type="dxa"/>
            <w:tcMar>
              <w:top w:w="80" w:type="dxa"/>
              <w:left w:w="100" w:type="dxa"/>
              <w:bottom w:w="80" w:type="dxa"/>
              <w:right w:w="100" w:type="dxa"/>
            </w:tcMar>
            <w:vAlign w:val="center"/>
          </w:tcPr>
          <w:p w14:paraId="5570983E" w14:textId="77777777" w:rsidR="001D7AF9" w:rsidRDefault="002E1144">
            <w:r>
              <w:rPr>
                <w:color w:val="000000"/>
                <w:sz w:val="19"/>
                <w:szCs w:val="19"/>
              </w:rPr>
              <w:t>Σ SavingsAllocation ≤ verfügbare Sparquote der Phase</w:t>
            </w:r>
          </w:p>
        </w:tc>
        <w:tc>
          <w:tcPr>
            <w:tcW w:w="5400" w:type="dxa"/>
            <w:tcMar>
              <w:top w:w="80" w:type="dxa"/>
              <w:left w:w="100" w:type="dxa"/>
              <w:bottom w:w="80" w:type="dxa"/>
              <w:right w:w="100" w:type="dxa"/>
            </w:tcMar>
            <w:vAlign w:val="center"/>
          </w:tcPr>
          <w:p w14:paraId="5B8D5551" w14:textId="77777777" w:rsidR="001D7AF9" w:rsidRDefault="002E1144">
            <w:r>
              <w:rPr>
                <w:color w:val="000000"/>
                <w:sz w:val="19"/>
                <w:szCs w:val="19"/>
              </w:rPr>
              <w:t>Warnhinweis (nicht blockierend) direkt bei der Sparquote-Anzeige</w:t>
            </w:r>
          </w:p>
        </w:tc>
      </w:tr>
      <w:tr w:rsidR="001D7AF9" w14:paraId="41F70CF0" w14:textId="77777777">
        <w:tblPrEx>
          <w:tblCellMar>
            <w:top w:w="0" w:type="dxa"/>
            <w:bottom w:w="0" w:type="dxa"/>
          </w:tblCellMar>
        </w:tblPrEx>
        <w:tc>
          <w:tcPr>
            <w:tcW w:w="6000" w:type="dxa"/>
            <w:shd w:val="clear" w:color="auto" w:fill="F2F2F2"/>
            <w:tcMar>
              <w:top w:w="80" w:type="dxa"/>
              <w:left w:w="100" w:type="dxa"/>
              <w:bottom w:w="80" w:type="dxa"/>
              <w:right w:w="100" w:type="dxa"/>
            </w:tcMar>
            <w:vAlign w:val="center"/>
          </w:tcPr>
          <w:p w14:paraId="518AD92C" w14:textId="77777777" w:rsidR="001D7AF9" w:rsidRDefault="002E1144">
            <w:r>
              <w:rPr>
                <w:color w:val="000000"/>
                <w:sz w:val="19"/>
                <w:szCs w:val="19"/>
              </w:rPr>
              <w:t>Phase.duration_years &gt; 0</w:t>
            </w:r>
          </w:p>
        </w:tc>
        <w:tc>
          <w:tcPr>
            <w:tcW w:w="5400" w:type="dxa"/>
            <w:shd w:val="clear" w:color="auto" w:fill="F2F2F2"/>
            <w:tcMar>
              <w:top w:w="80" w:type="dxa"/>
              <w:left w:w="100" w:type="dxa"/>
              <w:bottom w:w="80" w:type="dxa"/>
              <w:right w:w="100" w:type="dxa"/>
            </w:tcMar>
            <w:vAlign w:val="center"/>
          </w:tcPr>
          <w:p w14:paraId="56BA3E5B" w14:textId="77777777" w:rsidR="001D7AF9" w:rsidRDefault="002E1144">
            <w:r>
              <w:rPr>
                <w:color w:val="000000"/>
                <w:sz w:val="19"/>
                <w:szCs w:val="19"/>
              </w:rPr>
              <w:t>Blockierend – Feld ist Pflichtfeld &gt; 0</w:t>
            </w:r>
          </w:p>
        </w:tc>
      </w:tr>
      <w:tr w:rsidR="001D7AF9" w14:paraId="7FC7F542" w14:textId="77777777">
        <w:tblPrEx>
          <w:tblCellMar>
            <w:top w:w="0" w:type="dxa"/>
            <w:bottom w:w="0" w:type="dxa"/>
          </w:tblCellMar>
        </w:tblPrEx>
        <w:tc>
          <w:tcPr>
            <w:tcW w:w="6000" w:type="dxa"/>
            <w:tcMar>
              <w:top w:w="80" w:type="dxa"/>
              <w:left w:w="100" w:type="dxa"/>
              <w:bottom w:w="80" w:type="dxa"/>
              <w:right w:w="100" w:type="dxa"/>
            </w:tcMar>
            <w:vAlign w:val="center"/>
          </w:tcPr>
          <w:p w14:paraId="3DB831E6" w14:textId="77777777" w:rsidR="001D7AF9" w:rsidRDefault="002E1144">
            <w:r>
              <w:rPr>
                <w:color w:val="000000"/>
                <w:sz w:val="19"/>
                <w:szCs w:val="19"/>
              </w:rPr>
              <w:t>Bei household_type = 'Paar': income_mode konsistent innerhalb einer Phase (nicht gemischt)</w:t>
            </w:r>
          </w:p>
        </w:tc>
        <w:tc>
          <w:tcPr>
            <w:tcW w:w="5400" w:type="dxa"/>
            <w:tcMar>
              <w:top w:w="80" w:type="dxa"/>
              <w:left w:w="100" w:type="dxa"/>
              <w:bottom w:w="80" w:type="dxa"/>
              <w:right w:w="100" w:type="dxa"/>
            </w:tcMar>
            <w:vAlign w:val="center"/>
          </w:tcPr>
          <w:p w14:paraId="5E5F0ECF" w14:textId="77777777" w:rsidR="001D7AF9" w:rsidRDefault="002E1144">
            <w:r>
              <w:rPr>
                <w:color w:val="000000"/>
                <w:sz w:val="19"/>
                <w:szCs w:val="19"/>
              </w:rPr>
              <w:t>Blockierend beim Speichern der Phase</w:t>
            </w:r>
          </w:p>
        </w:tc>
      </w:tr>
      <w:tr w:rsidR="001D7AF9" w14:paraId="05AAA547" w14:textId="77777777">
        <w:tblPrEx>
          <w:tblCellMar>
            <w:top w:w="0" w:type="dxa"/>
            <w:bottom w:w="0" w:type="dxa"/>
          </w:tblCellMar>
        </w:tblPrEx>
        <w:tc>
          <w:tcPr>
            <w:tcW w:w="6000" w:type="dxa"/>
            <w:shd w:val="clear" w:color="auto" w:fill="F2F2F2"/>
            <w:tcMar>
              <w:top w:w="80" w:type="dxa"/>
              <w:left w:w="100" w:type="dxa"/>
              <w:bottom w:w="80" w:type="dxa"/>
              <w:right w:w="100" w:type="dxa"/>
            </w:tcMar>
            <w:vAlign w:val="center"/>
          </w:tcPr>
          <w:p w14:paraId="3518F1EB" w14:textId="77777777" w:rsidR="001D7AF9" w:rsidRDefault="002E1144">
            <w:r>
              <w:rPr>
                <w:color w:val="000000"/>
                <w:sz w:val="19"/>
                <w:szCs w:val="19"/>
              </w:rPr>
              <w:t>PhaseTransition: jede Position der Vorphase muss entweder „Übernehmen“ oder „Verkaufen“ zugewiesen sein</w:t>
            </w:r>
          </w:p>
        </w:tc>
        <w:tc>
          <w:tcPr>
            <w:tcW w:w="5400" w:type="dxa"/>
            <w:shd w:val="clear" w:color="auto" w:fill="F2F2F2"/>
            <w:tcMar>
              <w:top w:w="80" w:type="dxa"/>
              <w:left w:w="100" w:type="dxa"/>
              <w:bottom w:w="80" w:type="dxa"/>
              <w:right w:w="100" w:type="dxa"/>
            </w:tcMar>
            <w:vAlign w:val="center"/>
          </w:tcPr>
          <w:p w14:paraId="1905917A" w14:textId="77777777" w:rsidR="001D7AF9" w:rsidRDefault="002E1144">
            <w:r>
              <w:rPr>
                <w:color w:val="000000"/>
                <w:sz w:val="19"/>
                <w:szCs w:val="19"/>
              </w:rPr>
              <w:t>Blockierend beim Abschliessen des Übergangs</w:t>
            </w:r>
          </w:p>
        </w:tc>
      </w:tr>
      <w:tr w:rsidR="001D7AF9" w14:paraId="5B832E34" w14:textId="77777777">
        <w:tblPrEx>
          <w:tblCellMar>
            <w:top w:w="0" w:type="dxa"/>
            <w:bottom w:w="0" w:type="dxa"/>
          </w:tblCellMar>
        </w:tblPrEx>
        <w:tc>
          <w:tcPr>
            <w:tcW w:w="6000" w:type="dxa"/>
            <w:tcMar>
              <w:top w:w="80" w:type="dxa"/>
              <w:left w:w="100" w:type="dxa"/>
              <w:bottom w:w="80" w:type="dxa"/>
              <w:right w:w="100" w:type="dxa"/>
            </w:tcMar>
            <w:vAlign w:val="center"/>
          </w:tcPr>
          <w:p w14:paraId="7E9351DB" w14:textId="77777777" w:rsidR="001D7AF9" w:rsidRDefault="002E1144">
            <w:r>
              <w:rPr>
                <w:color w:val="000000"/>
                <w:sz w:val="19"/>
                <w:szCs w:val="19"/>
              </w:rPr>
              <w:t>Steuersatz-Felder (%) zwischen 0 und 100</w:t>
            </w:r>
          </w:p>
        </w:tc>
        <w:tc>
          <w:tcPr>
            <w:tcW w:w="5400" w:type="dxa"/>
            <w:tcMar>
              <w:top w:w="80" w:type="dxa"/>
              <w:left w:w="100" w:type="dxa"/>
              <w:bottom w:w="80" w:type="dxa"/>
              <w:right w:w="100" w:type="dxa"/>
            </w:tcMar>
            <w:vAlign w:val="center"/>
          </w:tcPr>
          <w:p w14:paraId="74B8402F" w14:textId="77777777" w:rsidR="001D7AF9" w:rsidRDefault="002E1144">
            <w:r>
              <w:rPr>
                <w:color w:val="000000"/>
                <w:sz w:val="19"/>
                <w:szCs w:val="19"/>
              </w:rPr>
              <w:t>Blockierend, Eingabe wird abgewiesen</w:t>
            </w:r>
          </w:p>
        </w:tc>
      </w:tr>
    </w:tbl>
    <w:p w14:paraId="529066B8" w14:textId="77777777" w:rsidR="001D7AF9" w:rsidRDefault="002E1144">
      <w:pPr>
        <w:pStyle w:val="berschrift1"/>
        <w:pBdr>
          <w:bottom w:val="single" w:sz="6" w:space="4" w:color="2E74B5"/>
        </w:pBdr>
        <w:spacing w:before="480" w:after="240"/>
      </w:pPr>
      <w:r>
        <w:rPr>
          <w:b/>
          <w:bCs/>
          <w:color w:val="1F3864"/>
        </w:rPr>
        <w:t>7. Konsolidierte offene Punkte und Annahmen</w:t>
      </w:r>
    </w:p>
    <w:p w14:paraId="08C174EB" w14:textId="77777777" w:rsidR="001D7AF9" w:rsidRDefault="002E1144">
      <w:pPr>
        <w:spacing w:after="160" w:line="300" w:lineRule="auto"/>
      </w:pPr>
      <w:r>
        <w:t>Die folgenden Punkte wurden in den bisherigen drei Memos nicht abschliessend geklärt oder sind Detailfragen, die vor bzw. während der Umsetzung final entschieden werden sollten:</w:t>
      </w:r>
    </w:p>
    <w:p w14:paraId="00AF0735" w14:textId="77777777" w:rsidR="001D7AF9" w:rsidRDefault="002E1144">
      <w:pPr>
        <w:pBdr>
          <w:left w:val="single" w:sz="18" w:space="6" w:color="BF8F00"/>
        </w:pBdr>
        <w:shd w:val="clear" w:color="auto" w:fill="FFF2CC"/>
        <w:spacing w:before="80" w:after="200"/>
        <w:ind w:left="120"/>
      </w:pPr>
      <w:r>
        <w:rPr>
          <w:b/>
          <w:bCs/>
          <w:color w:val="7F6000"/>
          <w:sz w:val="20"/>
          <w:szCs w:val="20"/>
        </w:rPr>
        <w:t>❓</w:t>
      </w:r>
      <w:r>
        <w:rPr>
          <w:b/>
          <w:bCs/>
          <w:color w:val="7F6000"/>
          <w:sz w:val="20"/>
          <w:szCs w:val="20"/>
        </w:rPr>
        <w:t xml:space="preserve"> Offene Frage: Genaue kantonale/individuelle Steuersätze für Grundstückgewinn- und Kapitalbezugssteuer sind als grobe Bandbreiten hinterlegt (Kap. 5.8). Für eine exakte Berechnung müsste der Benutzer künftig ggf. Kanton/Gemeinde hinterlegen – aktuell bewusst nicht vorgesehen.</w:t>
      </w:r>
    </w:p>
    <w:p w14:paraId="55B439B2" w14:textId="77777777" w:rsidR="001D7AF9" w:rsidRDefault="002E1144">
      <w:pPr>
        <w:pBdr>
          <w:left w:val="single" w:sz="18" w:space="6" w:color="BF8F00"/>
        </w:pBdr>
        <w:shd w:val="clear" w:color="auto" w:fill="FFF2CC"/>
        <w:spacing w:before="80" w:after="200"/>
        <w:ind w:left="120"/>
      </w:pPr>
      <w:r>
        <w:rPr>
          <w:b/>
          <w:bCs/>
          <w:color w:val="7F6000"/>
          <w:sz w:val="20"/>
          <w:szCs w:val="20"/>
        </w:rPr>
        <w:t>❓</w:t>
      </w:r>
      <w:r>
        <w:rPr>
          <w:b/>
          <w:bCs/>
          <w:color w:val="7F6000"/>
          <w:sz w:val="20"/>
          <w:szCs w:val="20"/>
        </w:rPr>
        <w:t xml:space="preserve"> Offene Frage: Verhalten bei mehr als zwei Personen im Haushalt (z. B. Patchwork-Konstellationen) ist nicht spezifiziert – aktuelle Annahme: maximal zwei Personen pro Haushalt.</w:t>
      </w:r>
    </w:p>
    <w:p w14:paraId="7E163967" w14:textId="77777777" w:rsidR="001D7AF9" w:rsidRDefault="002E1144">
      <w:pPr>
        <w:pBdr>
          <w:left w:val="single" w:sz="18" w:space="6" w:color="BF8F00"/>
        </w:pBdr>
        <w:shd w:val="clear" w:color="auto" w:fill="FFF2CC"/>
        <w:spacing w:before="80" w:after="200"/>
        <w:ind w:left="120"/>
      </w:pPr>
      <w:r>
        <w:rPr>
          <w:b/>
          <w:bCs/>
          <w:color w:val="7F6000"/>
          <w:sz w:val="20"/>
          <w:szCs w:val="20"/>
        </w:rPr>
        <w:t>❓</w:t>
      </w:r>
      <w:r>
        <w:rPr>
          <w:b/>
          <w:bCs/>
          <w:color w:val="7F6000"/>
          <w:sz w:val="20"/>
          <w:szCs w:val="20"/>
        </w:rPr>
        <w:t xml:space="preserve"> Offene Frage: Währung: Es wird von CHF als einziger Währung ausgegangen; Mehrwährungsfähigkeit ist nicht vorgesehen.</w:t>
      </w:r>
    </w:p>
    <w:p w14:paraId="35A5249F" w14:textId="77777777" w:rsidR="001D7AF9" w:rsidRDefault="002E1144">
      <w:pPr>
        <w:pBdr>
          <w:left w:val="single" w:sz="18" w:space="6" w:color="BF8F00"/>
        </w:pBdr>
        <w:shd w:val="clear" w:color="auto" w:fill="FFF2CC"/>
        <w:spacing w:before="80" w:after="200"/>
        <w:ind w:left="120"/>
      </w:pPr>
      <w:r>
        <w:rPr>
          <w:b/>
          <w:bCs/>
          <w:color w:val="7F6000"/>
          <w:sz w:val="20"/>
          <w:szCs w:val="20"/>
        </w:rPr>
        <w:t>❓</w:t>
      </w:r>
      <w:r>
        <w:rPr>
          <w:b/>
          <w:bCs/>
          <w:color w:val="7F6000"/>
          <w:sz w:val="20"/>
          <w:szCs w:val="20"/>
        </w:rPr>
        <w:t xml:space="preserve"> Offene Frage: Kein Login-/Mehrbenutzerkonzept spezifiziert – zu klären, ob Version 1 einen einzelnen Account ohne Benutzerverwaltung voraussetzt.</w:t>
      </w:r>
    </w:p>
    <w:p w14:paraId="1B7AB983" w14:textId="77777777" w:rsidR="001D7AF9" w:rsidRDefault="002E1144">
      <w:pPr>
        <w:pStyle w:val="berschrift3"/>
        <w:spacing w:before="240" w:after="120"/>
      </w:pPr>
      <w:r>
        <w:rPr>
          <w:b/>
          <w:bCs/>
          <w:color w:val="2E74B5"/>
          <w:sz w:val="22"/>
          <w:szCs w:val="22"/>
        </w:rPr>
        <w:t>Getroffene Annahmen (aus den Memos abgeleitet)</w:t>
      </w:r>
    </w:p>
    <w:p w14:paraId="4E2B9095" w14:textId="77777777" w:rsidR="001D7AF9" w:rsidRDefault="002E1144">
      <w:pPr>
        <w:pStyle w:val="Listenabsatz"/>
        <w:numPr>
          <w:ilvl w:val="0"/>
          <w:numId w:val="1"/>
        </w:numPr>
        <w:spacing w:after="90" w:line="280" w:lineRule="auto"/>
      </w:pPr>
      <w:r>
        <w:t>Kinder werden nicht als Datenobjekt erfasst (Memo 2, Punkt 7).</w:t>
      </w:r>
    </w:p>
    <w:p w14:paraId="78569498" w14:textId="77777777" w:rsidR="001D7AF9" w:rsidRDefault="002E1144">
      <w:pPr>
        <w:pStyle w:val="Listenabsatz"/>
        <w:numPr>
          <w:ilvl w:val="0"/>
          <w:numId w:val="1"/>
        </w:numPr>
        <w:spacing w:after="90" w:line="280" w:lineRule="auto"/>
      </w:pPr>
      <w:r>
        <w:t>Wertschriften und Immobilien sind immer Haushaltsebene, nie strikt personenbezogen (Memo 2, Punkt 2).</w:t>
      </w:r>
    </w:p>
    <w:p w14:paraId="2C8F7DB6" w14:textId="77777777" w:rsidR="001D7AF9" w:rsidRDefault="002E1144">
      <w:pPr>
        <w:pStyle w:val="Listenabsatz"/>
        <w:numPr>
          <w:ilvl w:val="0"/>
          <w:numId w:val="1"/>
        </w:numPr>
        <w:spacing w:after="90" w:line="280" w:lineRule="auto"/>
      </w:pPr>
      <w:r>
        <w:t>Kein automatischer Übertrag von Positionen bei Phasenübergang – immer aktive Entscheidung (Memo 2/3, Punkt 4/2).</w:t>
      </w:r>
    </w:p>
    <w:p w14:paraId="17D67793" w14:textId="77777777" w:rsidR="001D7AF9" w:rsidRDefault="002E1144">
      <w:pPr>
        <w:pStyle w:val="Listenabsatz"/>
        <w:numPr>
          <w:ilvl w:val="0"/>
          <w:numId w:val="1"/>
        </w:numPr>
        <w:spacing w:after="90" w:line="280" w:lineRule="auto"/>
      </w:pPr>
      <w:r>
        <w:t>Steuersätze werden pro Ereignis, nicht global erfasst (Bestätigung vom 07.07.2026).</w:t>
      </w:r>
    </w:p>
    <w:p w14:paraId="19B60EAF" w14:textId="77777777" w:rsidR="001D7AF9" w:rsidRDefault="002E1144">
      <w:pPr>
        <w:pStyle w:val="Listenabsatz"/>
        <w:numPr>
          <w:ilvl w:val="0"/>
          <w:numId w:val="1"/>
        </w:numPr>
        <w:spacing w:after="90" w:line="280" w:lineRule="auto"/>
      </w:pPr>
      <w:r>
        <w:t>Lebensende = Ende der letzten Phase, kein separates Todesalter-Feld (Bestätigung vom 07.07.2026).</w:t>
      </w:r>
    </w:p>
    <w:sectPr w:rsidR="001D7AF9">
      <w:footerReference w:type="default" r:id="rId7"/>
      <w:pgSz w:w="11908" w:h="16833"/>
      <w:pgMar w:top="1296" w:right="1296" w:bottom="1296"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5A88" w14:textId="77777777" w:rsidR="002E1144" w:rsidRDefault="002E1144">
      <w:r>
        <w:separator/>
      </w:r>
    </w:p>
  </w:endnote>
  <w:endnote w:type="continuationSeparator" w:id="0">
    <w:p w14:paraId="4FC25442" w14:textId="77777777" w:rsidR="002E1144" w:rsidRDefault="002E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5F9B" w14:textId="77777777" w:rsidR="001D7AF9" w:rsidRDefault="002E1144">
    <w:pPr>
      <w:jc w:val="center"/>
    </w:pPr>
    <w:r>
      <w:rPr>
        <w:color w:val="888888"/>
        <w:sz w:val="16"/>
        <w:szCs w:val="16"/>
      </w:rPr>
      <w:t xml:space="preserve">AICDS FPT – Konzept- und Anforderungsdokument   |   Seite </w:t>
    </w:r>
    <w:r>
      <w:rPr>
        <w:color w:val="888888"/>
        <w:sz w:val="16"/>
        <w:szCs w:val="16"/>
      </w:rPr>
      <w:fldChar w:fldCharType="begin"/>
    </w:r>
    <w:r>
      <w:rPr>
        <w:color w:val="888888"/>
        <w:sz w:val="16"/>
        <w:szCs w:val="16"/>
      </w:rPr>
      <w:instrText>PAGE</w:instrText>
    </w:r>
    <w:r>
      <w:rPr>
        <w:color w:val="888888"/>
        <w:sz w:val="16"/>
        <w:szCs w:val="16"/>
      </w:rPr>
      <w:fldChar w:fldCharType="separate"/>
    </w:r>
    <w:r w:rsidR="00A25E13">
      <w:rPr>
        <w:noProof/>
        <w:color w:val="888888"/>
        <w:sz w:val="16"/>
        <w:szCs w:val="16"/>
      </w:rPr>
      <w:t>1</w:t>
    </w:r>
    <w:r>
      <w:rPr>
        <w:color w:val="888888"/>
        <w:sz w:val="16"/>
        <w:szCs w:val="16"/>
      </w:rPr>
      <w:fldChar w:fldCharType="end"/>
    </w:r>
    <w:r>
      <w:rPr>
        <w:color w:val="888888"/>
        <w:sz w:val="16"/>
        <w:szCs w:val="16"/>
      </w:rPr>
      <w:t xml:space="preserve"> von </w:t>
    </w:r>
    <w:r>
      <w:rPr>
        <w:color w:val="888888"/>
        <w:sz w:val="16"/>
        <w:szCs w:val="16"/>
      </w:rPr>
      <w:fldChar w:fldCharType="begin"/>
    </w:r>
    <w:r>
      <w:rPr>
        <w:color w:val="888888"/>
        <w:sz w:val="16"/>
        <w:szCs w:val="16"/>
      </w:rPr>
      <w:instrText>NUMPAGES</w:instrText>
    </w:r>
    <w:r>
      <w:rPr>
        <w:color w:val="888888"/>
        <w:sz w:val="16"/>
        <w:szCs w:val="16"/>
      </w:rPr>
      <w:fldChar w:fldCharType="separate"/>
    </w:r>
    <w:r w:rsidR="00A25E13">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9ED2" w14:textId="77777777" w:rsidR="002E1144" w:rsidRDefault="002E1144">
      <w:r>
        <w:separator/>
      </w:r>
    </w:p>
  </w:footnote>
  <w:footnote w:type="continuationSeparator" w:id="0">
    <w:p w14:paraId="325F2FC8" w14:textId="77777777" w:rsidR="002E1144" w:rsidRDefault="002E1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1911"/>
    <w:multiLevelType w:val="hybridMultilevel"/>
    <w:tmpl w:val="4D4E2594"/>
    <w:lvl w:ilvl="0" w:tplc="2952764E">
      <w:start w:val="1"/>
      <w:numFmt w:val="bullet"/>
      <w:lvlText w:val="●"/>
      <w:lvlJc w:val="left"/>
      <w:pPr>
        <w:ind w:left="720" w:hanging="360"/>
      </w:pPr>
    </w:lvl>
    <w:lvl w:ilvl="1" w:tplc="2AFC539E">
      <w:start w:val="1"/>
      <w:numFmt w:val="bullet"/>
      <w:lvlText w:val="○"/>
      <w:lvlJc w:val="left"/>
      <w:pPr>
        <w:ind w:left="1440" w:hanging="360"/>
      </w:pPr>
    </w:lvl>
    <w:lvl w:ilvl="2" w:tplc="337A1F4E">
      <w:start w:val="1"/>
      <w:numFmt w:val="bullet"/>
      <w:lvlText w:val="■"/>
      <w:lvlJc w:val="left"/>
      <w:pPr>
        <w:ind w:left="2160" w:hanging="360"/>
      </w:pPr>
    </w:lvl>
    <w:lvl w:ilvl="3" w:tplc="6796548A">
      <w:start w:val="1"/>
      <w:numFmt w:val="bullet"/>
      <w:lvlText w:val="●"/>
      <w:lvlJc w:val="left"/>
      <w:pPr>
        <w:ind w:left="2880" w:hanging="360"/>
      </w:pPr>
    </w:lvl>
    <w:lvl w:ilvl="4" w:tplc="8800CD88">
      <w:start w:val="1"/>
      <w:numFmt w:val="bullet"/>
      <w:lvlText w:val="○"/>
      <w:lvlJc w:val="left"/>
      <w:pPr>
        <w:ind w:left="3600" w:hanging="360"/>
      </w:pPr>
    </w:lvl>
    <w:lvl w:ilvl="5" w:tplc="98964B1A">
      <w:start w:val="1"/>
      <w:numFmt w:val="bullet"/>
      <w:lvlText w:val="■"/>
      <w:lvlJc w:val="left"/>
      <w:pPr>
        <w:ind w:left="4320" w:hanging="360"/>
      </w:pPr>
    </w:lvl>
    <w:lvl w:ilvl="6" w:tplc="9E78E52A">
      <w:start w:val="1"/>
      <w:numFmt w:val="bullet"/>
      <w:lvlText w:val="●"/>
      <w:lvlJc w:val="left"/>
      <w:pPr>
        <w:ind w:left="5040" w:hanging="360"/>
      </w:pPr>
    </w:lvl>
    <w:lvl w:ilvl="7" w:tplc="3426F03C">
      <w:start w:val="1"/>
      <w:numFmt w:val="bullet"/>
      <w:lvlText w:val="●"/>
      <w:lvlJc w:val="left"/>
      <w:pPr>
        <w:ind w:left="5760" w:hanging="360"/>
      </w:pPr>
    </w:lvl>
    <w:lvl w:ilvl="8" w:tplc="C0C013C2">
      <w:start w:val="1"/>
      <w:numFmt w:val="bullet"/>
      <w:lvlText w:val="●"/>
      <w:lvlJc w:val="left"/>
      <w:pPr>
        <w:ind w:left="6480" w:hanging="360"/>
      </w:pPr>
    </w:lvl>
  </w:abstractNum>
  <w:num w:numId="1" w16cid:durableId="1096824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F9"/>
    <w:rsid w:val="001D7AF9"/>
    <w:rsid w:val="002E1144"/>
    <w:rsid w:val="00797812"/>
    <w:rsid w:val="00A25E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C2B3"/>
  <w15:docId w15:val="{1931DBB5-3015-4C18-A0F2-106C079E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unhideWhenUsed/>
    <w:qFormat/>
    <w:pPr>
      <w:outlineLvl w:val="1"/>
    </w:pPr>
    <w:rPr>
      <w:color w:val="2E74B5"/>
      <w:sz w:val="26"/>
      <w:szCs w:val="26"/>
    </w:rPr>
  </w:style>
  <w:style w:type="paragraph" w:styleId="berschrift3">
    <w:name w:val="heading 3"/>
    <w:uiPriority w:val="9"/>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3748</Words>
  <Characters>23616</Characters>
  <Application>Microsoft Office Word</Application>
  <DocSecurity>0</DocSecurity>
  <Lines>196</Lines>
  <Paragraphs>54</Paragraphs>
  <ScaleCrop>false</ScaleCrop>
  <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Damian Kellenberger</cp:lastModifiedBy>
  <cp:revision>2</cp:revision>
  <dcterms:created xsi:type="dcterms:W3CDTF">2026-07-07T21:33:00Z</dcterms:created>
  <dcterms:modified xsi:type="dcterms:W3CDTF">2026-07-07T21:33:00Z</dcterms:modified>
</cp:coreProperties>
</file>